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textAlignment w:val="baseline"/>
        <w:outlineLvl w:val="0"/>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0" w:name="_Toc9096"/>
      <w:bookmarkStart w:id="1" w:name="_Toc24180"/>
      <w:bookmarkStart w:id="2" w:name="_Toc25489"/>
      <w:r>
        <w:rPr>
          <w:rFonts w:hint="eastAsia" w:ascii="宋体" w:hAnsi="宋体" w:eastAsia="宋体" w:cs="宋体"/>
          <w:color w:val="auto"/>
          <w:highlight w:val="none"/>
        </w:rPr>
        <w:t>磋商办法和细则</w:t>
      </w:r>
      <w:bookmarkEnd w:id="0"/>
      <w:bookmarkEnd w:id="1"/>
      <w:bookmarkEnd w:id="2"/>
    </w:p>
    <w:p>
      <w:pPr>
        <w:pStyle w:val="7"/>
        <w:keepNext w:val="0"/>
        <w:keepLines w:val="0"/>
        <w:pageBreakBefore w:val="0"/>
        <w:widowControl w:val="0"/>
        <w:kinsoku/>
        <w:wordWrap/>
        <w:overflowPunct/>
        <w:topLinePunct w:val="0"/>
        <w:autoSpaceDE/>
        <w:autoSpaceDN/>
        <w:bidi w:val="0"/>
        <w:adjustRightInd/>
        <w:snapToGrid/>
        <w:spacing w:before="313" w:beforeLines="100" w:line="360" w:lineRule="auto"/>
        <w:ind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根据《中华人民共和国政府采购法》等有关法律法规的规定，并结合本项目的实际，按照公正、公平、科学、择优的原则选择成交人，特制定本办法。</w:t>
      </w:r>
    </w:p>
    <w:p>
      <w:pPr>
        <w:pStyle w:val="3"/>
        <w:pageBreakBefore w:val="0"/>
        <w:widowControl w:val="0"/>
        <w:numPr>
          <w:ilvl w:val="0"/>
          <w:numId w:val="1"/>
        </w:numPr>
        <w:kinsoku/>
        <w:wordWrap/>
        <w:overflowPunct/>
        <w:topLinePunct w:val="0"/>
        <w:autoSpaceDE/>
        <w:autoSpaceDN/>
        <w:bidi w:val="0"/>
        <w:adjustRightInd/>
        <w:snapToGrid/>
        <w:spacing w:line="360" w:lineRule="auto"/>
        <w:ind w:left="-420" w:leftChars="0" w:firstLine="420" w:firstLineChars="0"/>
        <w:jc w:val="both"/>
        <w:textAlignment w:val="auto"/>
        <w:outlineLvl w:val="1"/>
        <w:rPr>
          <w:rFonts w:hint="eastAsia" w:ascii="宋体" w:hAnsi="宋体" w:eastAsia="宋体" w:cs="宋体"/>
          <w:color w:val="auto"/>
          <w:highlight w:val="none"/>
        </w:rPr>
      </w:pPr>
      <w:bookmarkStart w:id="3" w:name="_Toc494558393"/>
      <w:bookmarkStart w:id="4" w:name="_Toc335664295"/>
      <w:bookmarkStart w:id="5" w:name="_Toc25648"/>
      <w:bookmarkStart w:id="6" w:name="_Toc493955998"/>
      <w:bookmarkStart w:id="7" w:name="_Toc6181"/>
      <w:bookmarkStart w:id="8" w:name="_Toc28163"/>
      <w:bookmarkStart w:id="9" w:name="_Toc335664299"/>
      <w:bookmarkStart w:id="10" w:name="_Toc390938605"/>
      <w:r>
        <w:rPr>
          <w:rFonts w:hint="eastAsia" w:ascii="宋体" w:hAnsi="宋体" w:eastAsia="宋体" w:cs="宋体"/>
          <w:color w:val="auto"/>
          <w:highlight w:val="none"/>
        </w:rPr>
        <w:t>总则</w:t>
      </w:r>
      <w:bookmarkEnd w:id="3"/>
      <w:bookmarkEnd w:id="4"/>
      <w:bookmarkEnd w:id="5"/>
      <w:bookmarkEnd w:id="6"/>
      <w:bookmarkEnd w:id="7"/>
      <w:bookmarkEnd w:id="8"/>
      <w:bookmarkStart w:id="44" w:name="_GoBack"/>
      <w:bookmarkEnd w:id="44"/>
    </w:p>
    <w:p>
      <w:pPr>
        <w:pageBreakBefore w:val="0"/>
        <w:widowControl w:val="0"/>
        <w:numPr>
          <w:ilvl w:val="1"/>
          <w:numId w:val="2"/>
        </w:numPr>
        <w:kinsoku/>
        <w:wordWrap/>
        <w:overflowPunct/>
        <w:topLinePunct w:val="0"/>
        <w:autoSpaceDE/>
        <w:autoSpaceDN/>
        <w:bidi w:val="0"/>
        <w:adjustRightInd/>
        <w:snapToGrid/>
        <w:spacing w:line="360" w:lineRule="auto"/>
        <w:ind w:left="147" w:leftChars="0" w:hanging="14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为最大限度地保护各当事人的权益，磋商小组应严格按照磋商文件的技术、资信、商务要求，对响应文件进行综合分析评价并编制评标报告。磋商小组成员必须严格遵守保密规定，不得泄漏评审有关的</w:t>
      </w:r>
      <w:r>
        <w:rPr>
          <w:rFonts w:hint="eastAsia" w:ascii="宋体" w:hAnsi="宋体" w:cs="宋体"/>
          <w:color w:val="auto"/>
          <w:sz w:val="24"/>
          <w:highlight w:val="none"/>
          <w:lang w:val="en-US" w:eastAsia="zh-CN"/>
        </w:rPr>
        <w:t>信息</w:t>
      </w:r>
      <w:r>
        <w:rPr>
          <w:rFonts w:hint="eastAsia" w:ascii="宋体" w:hAnsi="宋体" w:eastAsia="宋体" w:cs="宋体"/>
          <w:color w:val="auto"/>
          <w:sz w:val="24"/>
          <w:highlight w:val="none"/>
        </w:rPr>
        <w:t>，不得索贿受贿，不得参加影响评审的任何活动。</w:t>
      </w:r>
    </w:p>
    <w:p>
      <w:pPr>
        <w:pageBreakBefore w:val="0"/>
        <w:widowControl w:val="0"/>
        <w:numPr>
          <w:ilvl w:val="1"/>
          <w:numId w:val="2"/>
        </w:numPr>
        <w:kinsoku/>
        <w:wordWrap/>
        <w:overflowPunct/>
        <w:topLinePunct w:val="0"/>
        <w:autoSpaceDE/>
        <w:autoSpaceDN/>
        <w:bidi w:val="0"/>
        <w:adjustRightInd/>
        <w:snapToGrid/>
        <w:spacing w:line="360" w:lineRule="auto"/>
        <w:ind w:left="147" w:leftChars="0" w:hanging="147" w:firstLineChars="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本次评审采用综合评分法，按最终得分由高到低顺序排列。最终得分相同的，按磋商报价由低到高顺序排列；最终得分且磋商报价相同的，按技术得分由高到低顺序排列</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以上得分均相同的，由采购人抽签确定排名（即第一抽出人为第一名，以此类推）。磋商小组按照评审</w:t>
      </w:r>
      <w:r>
        <w:rPr>
          <w:rFonts w:hint="eastAsia" w:ascii="宋体" w:hAnsi="宋体" w:cs="宋体"/>
          <w:color w:val="auto"/>
          <w:sz w:val="24"/>
          <w:highlight w:val="none"/>
          <w:lang w:val="en-US" w:eastAsia="zh-CN"/>
        </w:rPr>
        <w:t>总</w:t>
      </w:r>
      <w:r>
        <w:rPr>
          <w:rFonts w:hint="eastAsia" w:ascii="宋体" w:hAnsi="宋体" w:eastAsia="宋体" w:cs="宋体"/>
          <w:color w:val="auto"/>
          <w:sz w:val="24"/>
          <w:highlight w:val="none"/>
        </w:rPr>
        <w:t>得分由高到低顺序推荐3名成交候选供应商，采购人应当在收到评审报告后5个工作日内，从评审报告提出的成交候选供应商中，按照排序由高到低的原则确定</w:t>
      </w:r>
      <w:r>
        <w:rPr>
          <w:rFonts w:hint="eastAsia" w:ascii="宋体" w:hAnsi="宋体" w:cs="宋体"/>
          <w:color w:val="auto"/>
          <w:sz w:val="24"/>
          <w:highlight w:val="none"/>
          <w:lang w:val="en-US" w:eastAsia="zh-CN"/>
        </w:rPr>
        <w:t>1名</w:t>
      </w:r>
      <w:r>
        <w:rPr>
          <w:rFonts w:hint="eastAsia" w:ascii="宋体" w:hAnsi="宋体" w:eastAsia="宋体" w:cs="宋体"/>
          <w:color w:val="auto"/>
          <w:sz w:val="24"/>
          <w:highlight w:val="none"/>
        </w:rPr>
        <w:t>成交供应商。</w:t>
      </w:r>
    </w:p>
    <w:p>
      <w:pPr>
        <w:pStyle w:val="3"/>
        <w:pageBreakBefore w:val="0"/>
        <w:widowControl w:val="0"/>
        <w:numPr>
          <w:ilvl w:val="0"/>
          <w:numId w:val="1"/>
        </w:numPr>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color w:val="auto"/>
          <w:highlight w:val="none"/>
        </w:rPr>
      </w:pPr>
      <w:bookmarkStart w:id="11" w:name="_Toc494558394"/>
      <w:bookmarkStart w:id="12" w:name="_Toc11063"/>
      <w:bookmarkStart w:id="13" w:name="_Toc493955999"/>
      <w:bookmarkStart w:id="14" w:name="_Toc4674"/>
      <w:bookmarkStart w:id="15" w:name="_Toc25564"/>
      <w:r>
        <w:rPr>
          <w:rFonts w:hint="eastAsia" w:ascii="宋体" w:hAnsi="宋体" w:eastAsia="宋体" w:cs="宋体"/>
          <w:color w:val="auto"/>
          <w:highlight w:val="none"/>
        </w:rPr>
        <w:t>磋商小组</w:t>
      </w:r>
      <w:bookmarkEnd w:id="11"/>
      <w:bookmarkEnd w:id="12"/>
      <w:bookmarkEnd w:id="13"/>
      <w:bookmarkEnd w:id="14"/>
      <w:bookmarkEnd w:id="15"/>
    </w:p>
    <w:p>
      <w:pPr>
        <w:pageBreakBefore w:val="0"/>
        <w:widowControl w:val="0"/>
        <w:numPr>
          <w:ilvl w:val="1"/>
          <w:numId w:val="3"/>
        </w:numPr>
        <w:kinsoku/>
        <w:wordWrap/>
        <w:overflowPunct/>
        <w:topLinePunct w:val="0"/>
        <w:autoSpaceDE/>
        <w:autoSpaceDN/>
        <w:bidi w:val="0"/>
        <w:adjustRightInd/>
        <w:snapToGrid/>
        <w:spacing w:line="360" w:lineRule="auto"/>
        <w:ind w:left="147" w:leftChars="0" w:hanging="147" w:firstLineChars="0"/>
        <w:textAlignment w:val="auto"/>
        <w:outlineLvl w:val="2"/>
        <w:rPr>
          <w:rFonts w:hint="eastAsia" w:ascii="宋体" w:hAnsi="宋体" w:eastAsia="宋体" w:cs="宋体"/>
          <w:color w:val="auto"/>
          <w:sz w:val="24"/>
          <w:highlight w:val="none"/>
        </w:rPr>
      </w:pPr>
      <w:bookmarkStart w:id="16" w:name="_Toc23071"/>
      <w:bookmarkStart w:id="17" w:name="_Toc29167"/>
      <w:r>
        <w:rPr>
          <w:rFonts w:hint="eastAsia" w:ascii="宋体" w:hAnsi="宋体" w:eastAsia="宋体" w:cs="宋体"/>
          <w:color w:val="auto"/>
          <w:sz w:val="24"/>
          <w:highlight w:val="none"/>
        </w:rPr>
        <w:t>磋商小组</w:t>
      </w:r>
      <w:bookmarkEnd w:id="16"/>
      <w:bookmarkEnd w:id="17"/>
    </w:p>
    <w:p>
      <w:pPr>
        <w:pageBreakBefore w:val="0"/>
        <w:widowControl w:val="0"/>
        <w:numPr>
          <w:ilvl w:val="2"/>
          <w:numId w:val="3"/>
        </w:numPr>
        <w:kinsoku/>
        <w:wordWrap/>
        <w:overflowPunct/>
        <w:topLinePunct w:val="0"/>
        <w:autoSpaceDE/>
        <w:autoSpaceDN/>
        <w:bidi w:val="0"/>
        <w:adjustRightInd/>
        <w:snapToGrid/>
        <w:spacing w:line="360" w:lineRule="auto"/>
        <w:ind w:left="-131" w:leftChars="0" w:firstLine="131"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成员：由采购人代表和评审专家组成，其中评审专家人数不得少于磋商小组成员总数的三分之二。除国务院财政部门规定的情形外，磋商小组成员由采购代理机构在政府采购专家库中随机抽取。</w:t>
      </w:r>
    </w:p>
    <w:p>
      <w:pPr>
        <w:pageBreakBefore w:val="0"/>
        <w:widowControl w:val="0"/>
        <w:numPr>
          <w:ilvl w:val="2"/>
          <w:numId w:val="3"/>
        </w:numPr>
        <w:kinsoku/>
        <w:wordWrap/>
        <w:overflowPunct/>
        <w:topLinePunct w:val="0"/>
        <w:autoSpaceDE/>
        <w:autoSpaceDN/>
        <w:bidi w:val="0"/>
        <w:adjustRightInd/>
        <w:snapToGrid/>
        <w:spacing w:line="360" w:lineRule="auto"/>
        <w:ind w:left="-131" w:leftChars="0" w:firstLine="131"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职责：严格按政府采购法律法规的有关规定执行，磋商小组成员应按磋商文件规定的评审要求、评审程序、评审内容、评审方法和评审标准进行评审，对评审意见承担个人责任。</w:t>
      </w:r>
    </w:p>
    <w:p>
      <w:pPr>
        <w:pageBreakBefore w:val="0"/>
        <w:widowControl w:val="0"/>
        <w:numPr>
          <w:ilvl w:val="1"/>
          <w:numId w:val="3"/>
        </w:numPr>
        <w:kinsoku/>
        <w:wordWrap/>
        <w:overflowPunct/>
        <w:topLinePunct w:val="0"/>
        <w:autoSpaceDE/>
        <w:autoSpaceDN/>
        <w:bidi w:val="0"/>
        <w:adjustRightInd/>
        <w:snapToGrid/>
        <w:spacing w:line="360" w:lineRule="auto"/>
        <w:ind w:left="147" w:leftChars="0" w:hanging="14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磋商小组成员的评审情况和评审意见受监督人员和采购代理机构审查，如发现磋商小组成员的评审意见带有明显倾向性，或不按规定程序和标准评审、计分的，可要求磋商小组成员进行书面澄清和说明。</w:t>
      </w:r>
    </w:p>
    <w:p>
      <w:pPr>
        <w:pStyle w:val="3"/>
        <w:pageBreakBefore w:val="0"/>
        <w:widowControl w:val="0"/>
        <w:numPr>
          <w:ilvl w:val="0"/>
          <w:numId w:val="1"/>
        </w:numPr>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color w:val="auto"/>
          <w:highlight w:val="none"/>
        </w:rPr>
      </w:pPr>
      <w:bookmarkStart w:id="18" w:name="_Toc494558395"/>
      <w:bookmarkStart w:id="19" w:name="_Toc14072"/>
      <w:bookmarkStart w:id="20" w:name="_Toc32162"/>
      <w:bookmarkStart w:id="21" w:name="_Toc23388"/>
      <w:r>
        <w:rPr>
          <w:rFonts w:hint="eastAsia" w:ascii="宋体" w:hAnsi="宋体" w:eastAsia="宋体" w:cs="宋体"/>
          <w:color w:val="auto"/>
          <w:highlight w:val="none"/>
        </w:rPr>
        <w:t>磋商程序</w:t>
      </w:r>
      <w:bookmarkEnd w:id="18"/>
      <w:bookmarkEnd w:id="19"/>
      <w:bookmarkEnd w:id="20"/>
      <w:bookmarkEnd w:id="21"/>
    </w:p>
    <w:p>
      <w:pPr>
        <w:pageBreakBefore w:val="0"/>
        <w:widowControl w:val="0"/>
        <w:numPr>
          <w:ilvl w:val="1"/>
          <w:numId w:val="4"/>
        </w:numPr>
        <w:kinsoku/>
        <w:wordWrap/>
        <w:overflowPunct/>
        <w:topLinePunct w:val="0"/>
        <w:autoSpaceDE/>
        <w:autoSpaceDN/>
        <w:bidi w:val="0"/>
        <w:adjustRightInd/>
        <w:snapToGrid/>
        <w:spacing w:line="360" w:lineRule="auto"/>
        <w:textAlignment w:val="auto"/>
        <w:outlineLvl w:val="2"/>
        <w:rPr>
          <w:rFonts w:hint="eastAsia" w:ascii="宋体" w:hAnsi="宋体" w:eastAsia="宋体" w:cs="宋体"/>
          <w:color w:val="auto"/>
          <w:sz w:val="24"/>
          <w:szCs w:val="24"/>
          <w:highlight w:val="none"/>
        </w:rPr>
      </w:pPr>
      <w:bookmarkStart w:id="22" w:name="_Toc8177"/>
      <w:bookmarkStart w:id="23" w:name="_Toc27460"/>
      <w:r>
        <w:rPr>
          <w:rFonts w:hint="eastAsia" w:ascii="宋体" w:hAnsi="宋体" w:eastAsia="宋体" w:cs="宋体"/>
          <w:color w:val="auto"/>
          <w:sz w:val="24"/>
          <w:szCs w:val="24"/>
          <w:highlight w:val="none"/>
        </w:rPr>
        <w:t>符合性审查</w:t>
      </w:r>
      <w:bookmarkEnd w:id="22"/>
      <w:bookmarkEnd w:id="2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会依据磋商文件的规定，从响应文件的有效性、完整性和对磋商文件的响应程度进行审查，以确定是否对磋商文件的实质性要求作出响应。通过符合性审查不足三家的，除采购任务取消的情形外，按相关规定重新组织采购。</w:t>
      </w:r>
    </w:p>
    <w:p>
      <w:pPr>
        <w:pageBreakBefore w:val="0"/>
        <w:widowControl w:val="0"/>
        <w:numPr>
          <w:ilvl w:val="1"/>
          <w:numId w:val="4"/>
        </w:numPr>
        <w:kinsoku/>
        <w:wordWrap/>
        <w:overflowPunct/>
        <w:topLinePunct w:val="0"/>
        <w:autoSpaceDE/>
        <w:autoSpaceDN/>
        <w:bidi w:val="0"/>
        <w:adjustRightInd/>
        <w:snapToGrid/>
        <w:spacing w:line="360" w:lineRule="auto"/>
        <w:textAlignment w:val="auto"/>
        <w:outlineLvl w:val="2"/>
        <w:rPr>
          <w:rFonts w:hint="eastAsia" w:ascii="宋体" w:hAnsi="宋体" w:eastAsia="宋体" w:cs="宋体"/>
          <w:color w:val="auto"/>
          <w:sz w:val="24"/>
          <w:szCs w:val="24"/>
          <w:highlight w:val="none"/>
        </w:rPr>
      </w:pPr>
      <w:bookmarkStart w:id="24" w:name="_Toc25281"/>
      <w:bookmarkStart w:id="25" w:name="_Toc4248"/>
      <w:r>
        <w:rPr>
          <w:rFonts w:hint="eastAsia" w:ascii="宋体" w:hAnsi="宋体" w:eastAsia="宋体" w:cs="宋体"/>
          <w:color w:val="auto"/>
          <w:sz w:val="24"/>
          <w:szCs w:val="24"/>
          <w:highlight w:val="none"/>
        </w:rPr>
        <w:t>磋商</w:t>
      </w:r>
      <w:bookmarkEnd w:id="24"/>
      <w:bookmarkEnd w:id="25"/>
    </w:p>
    <w:p>
      <w:pPr>
        <w:pageBreakBefore w:val="0"/>
        <w:widowControl w:val="0"/>
        <w:numPr>
          <w:ilvl w:val="2"/>
          <w:numId w:val="4"/>
        </w:numPr>
        <w:kinsoku/>
        <w:wordWrap/>
        <w:overflowPunct/>
        <w:topLinePunct w:val="0"/>
        <w:autoSpaceDE/>
        <w:autoSpaceDN/>
        <w:bidi w:val="0"/>
        <w:adjustRightInd/>
        <w:snapToGrid/>
        <w:spacing w:line="360" w:lineRule="auto"/>
        <w:ind w:left="-152" w:leftChars="0" w:firstLine="152"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磋商小组对响应文件进行评审，并根据磋商文件规定的程序、评定成交的标准等事项与实质性响应磋商文件要求的供应商进行多轮磋商。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（1）磋商小组按磋商文件提交的顺序分别进行磋商（若有讲解同磋商顺序）。磋商小组所有成员应当集中与单一供应商分别进行磋商，并给予所有参加磋商的供应商平等的磋商机会。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kern w:val="0"/>
          <w:sz w:val="24"/>
          <w:highlight w:val="none"/>
        </w:rPr>
        <w:t>响应文件</w:t>
      </w:r>
      <w:r>
        <w:rPr>
          <w:rFonts w:hint="eastAsia" w:ascii="宋体" w:hAnsi="宋体" w:eastAsia="宋体" w:cs="宋体"/>
          <w:color w:val="auto"/>
          <w:sz w:val="24"/>
          <w:highlight w:val="none"/>
        </w:rPr>
        <w:t>中含义不明确、同类问题表述不一致或者有明显文字和计算错误的内容，磋商小组应当以书面形式要求供应商作出必要的澄清、说明或者更正。供应商的澄清、说明或者更正不得超出响应文件的范围或者改变响应文件的实质性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（3）在磋商过程中，磋商小组可以根据磋商文件和磋商情况实质性变动采购需求中的技术、服务要求以及合同条款。实质性变动的内容，须经采购人代表确认。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对磋商文件作出实质性变动是磋商文件的有效组成部分，磋商小组应当及时以书面形式同时通知所有参加磋商的供应商。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（4）磋商文件能够详细列明采购标的的技术、服务要求的，磋商结束后，磋商小组应当要求所有继续参加磋商的供应商在规定时间内提交最后报价，提交最后报价的供应商不得少于3家。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（5）磋商小组采用综合评分法对确定作出最后报价的供应商的响应文件进行综合评分。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（6）供应商提交最后报价，代理机构当场宣读各供应商最后报价，并宣布资信</w:t>
      </w:r>
      <w:r>
        <w:rPr>
          <w:rFonts w:hint="eastAsia" w:ascii="宋体" w:hAnsi="宋体" w:cs="宋体"/>
          <w:color w:val="auto"/>
          <w:sz w:val="24"/>
          <w:highlight w:val="none"/>
          <w:lang w:eastAsia="zh-CN"/>
        </w:rPr>
        <w:t>资信商务及技术文件</w:t>
      </w:r>
      <w:r>
        <w:rPr>
          <w:rFonts w:hint="eastAsia" w:ascii="宋体" w:hAnsi="宋体" w:eastAsia="宋体" w:cs="宋体"/>
          <w:color w:val="auto"/>
          <w:sz w:val="24"/>
          <w:highlight w:val="none"/>
        </w:rPr>
        <w:t>得分。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（7）磋商小组对报价进行评分。</w:t>
      </w:r>
    </w:p>
    <w:p>
      <w:pPr>
        <w:pageBreakBefore w:val="0"/>
        <w:widowControl w:val="0"/>
        <w:numPr>
          <w:ilvl w:val="2"/>
          <w:numId w:val="4"/>
        </w:numPr>
        <w:tabs>
          <w:tab w:val="left" w:pos="840"/>
        </w:tabs>
        <w:kinsoku/>
        <w:wordWrap/>
        <w:overflowPunct/>
        <w:topLinePunct w:val="0"/>
        <w:autoSpaceDE/>
        <w:autoSpaceDN/>
        <w:bidi w:val="0"/>
        <w:adjustRightInd/>
        <w:snapToGrid/>
        <w:spacing w:line="360" w:lineRule="auto"/>
        <w:ind w:left="708" w:leftChars="0" w:hanging="708" w:firstLineChars="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磋商注意事项</w:t>
      </w:r>
      <w:r>
        <w:rPr>
          <w:rFonts w:hint="eastAsia" w:ascii="宋体" w:hAnsi="宋体" w:eastAsia="宋体" w:cs="宋体"/>
          <w:b/>
          <w:color w:val="auto"/>
          <w:sz w:val="24"/>
          <w:highlight w:val="none"/>
        </w:rPr>
        <w:tab/>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时，参与磋商的供应商应派代表在指定的地点参加磋商。参与磋商的供应商人员应及时解释和澄清磋商响应文件相关内容，以书面的形式重新做出承诺并签署确定。后一轮磋商的价格、服务承诺及优惠条件等必须优于或等于前一轮磋商的价格、服务承诺及优惠条件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磋商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出席磋商的有关人员：磋商小组成员和采购代理机构工作人员。参与磋商的供应商的所有磋商响应文件(包括每次报价及重新承诺)截至时间前由采购代理机构工作人员进行接收，任何参与磋商的个人均不得私自拆封。磋商小组负责本次项目所有磋商任务，包括全程磋商、推荐成交候选人、填写评审报告等。</w:t>
      </w:r>
    </w:p>
    <w:p>
      <w:pPr>
        <w:pageBreakBefore w:val="0"/>
        <w:widowControl w:val="0"/>
        <w:numPr>
          <w:ilvl w:val="1"/>
          <w:numId w:val="4"/>
        </w:numPr>
        <w:kinsoku/>
        <w:wordWrap/>
        <w:overflowPunct/>
        <w:topLinePunct w:val="0"/>
        <w:autoSpaceDE/>
        <w:autoSpaceDN/>
        <w:bidi w:val="0"/>
        <w:adjustRightInd/>
        <w:snapToGrid/>
        <w:spacing w:line="360" w:lineRule="auto"/>
        <w:textAlignment w:val="auto"/>
        <w:outlineLvl w:val="2"/>
        <w:rPr>
          <w:rFonts w:hint="eastAsia" w:ascii="宋体" w:hAnsi="宋体" w:eastAsia="宋体" w:cs="宋体"/>
          <w:color w:val="auto"/>
          <w:sz w:val="24"/>
          <w:szCs w:val="24"/>
          <w:highlight w:val="none"/>
        </w:rPr>
      </w:pPr>
      <w:bookmarkStart w:id="26" w:name="_Toc27738"/>
      <w:bookmarkStart w:id="27" w:name="_Toc13477"/>
      <w:r>
        <w:rPr>
          <w:rFonts w:hint="eastAsia" w:ascii="宋体" w:hAnsi="宋体" w:eastAsia="宋体" w:cs="宋体"/>
          <w:color w:val="auto"/>
          <w:sz w:val="24"/>
          <w:szCs w:val="24"/>
          <w:highlight w:val="none"/>
        </w:rPr>
        <w:t>评审</w:t>
      </w:r>
      <w:bookmarkEnd w:id="26"/>
      <w:bookmarkEnd w:id="27"/>
    </w:p>
    <w:p>
      <w:pPr>
        <w:pageBreakBefore w:val="0"/>
        <w:widowControl w:val="0"/>
        <w:numPr>
          <w:ilvl w:val="2"/>
          <w:numId w:val="4"/>
        </w:numPr>
        <w:kinsoku/>
        <w:wordWrap/>
        <w:overflowPunct/>
        <w:topLinePunct w:val="0"/>
        <w:autoSpaceDE/>
        <w:autoSpaceDN/>
        <w:bidi w:val="0"/>
        <w:adjustRightInd/>
        <w:snapToGrid/>
        <w:spacing w:line="360" w:lineRule="auto"/>
        <w:ind w:left="708" w:leftChars="0" w:hanging="708" w:firstLineChars="0"/>
        <w:jc w:val="left"/>
        <w:textAlignment w:val="auto"/>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资信商务及技术文件</w:t>
      </w:r>
      <w:r>
        <w:rPr>
          <w:rFonts w:hint="eastAsia" w:ascii="宋体" w:hAnsi="宋体" w:eastAsia="宋体" w:cs="宋体"/>
          <w:b/>
          <w:color w:val="auto"/>
          <w:sz w:val="24"/>
          <w:highlight w:val="none"/>
        </w:rPr>
        <w:t>评审</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磋商小组依据磋商文件的规定，对各供应商的资信商务及技术文件经充分审核，按照客观、公正、审慎的原则,根据采购文件规定的评审程序、评审方法和评审标准进行独立评审，并根据澄清（如有）、演示（如有）、样品（如有）等情况按评审细则进行独立打分</w:t>
      </w:r>
      <w:r>
        <w:rPr>
          <w:rFonts w:hint="eastAsia" w:ascii="宋体" w:hAnsi="宋体" w:eastAsia="宋体" w:cs="宋体"/>
          <w:color w:val="auto"/>
          <w:sz w:val="24"/>
          <w:highlight w:val="none"/>
        </w:rPr>
        <w:t>；</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各供应商的资信</w:t>
      </w:r>
      <w:r>
        <w:rPr>
          <w:rFonts w:hint="eastAsia" w:ascii="宋体" w:hAnsi="宋体" w:cs="宋体"/>
          <w:color w:val="auto"/>
          <w:sz w:val="24"/>
          <w:highlight w:val="none"/>
          <w:lang w:eastAsia="zh-CN"/>
        </w:rPr>
        <w:t>资信商务及技术文件</w:t>
      </w:r>
      <w:r>
        <w:rPr>
          <w:rFonts w:hint="eastAsia" w:ascii="宋体" w:hAnsi="宋体" w:eastAsia="宋体" w:cs="宋体"/>
          <w:color w:val="auto"/>
          <w:sz w:val="24"/>
          <w:highlight w:val="none"/>
        </w:rPr>
        <w:t>得分，为各评审专家对该供应商的评审得分结果汇总后的算术平均数。</w:t>
      </w:r>
    </w:p>
    <w:p>
      <w:pPr>
        <w:pageBreakBefore w:val="0"/>
        <w:widowControl w:val="0"/>
        <w:numPr>
          <w:ilvl w:val="2"/>
          <w:numId w:val="4"/>
        </w:numPr>
        <w:kinsoku/>
        <w:wordWrap/>
        <w:overflowPunct/>
        <w:topLinePunct w:val="0"/>
        <w:autoSpaceDE/>
        <w:autoSpaceDN/>
        <w:bidi w:val="0"/>
        <w:adjustRightInd/>
        <w:snapToGrid/>
        <w:spacing w:line="360" w:lineRule="auto"/>
        <w:ind w:left="708" w:leftChars="0" w:hanging="708" w:firstLineChars="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报价文件</w:t>
      </w:r>
      <w:r>
        <w:rPr>
          <w:rFonts w:hint="eastAsia" w:ascii="宋体" w:hAnsi="宋体" w:eastAsia="宋体" w:cs="宋体"/>
          <w:b/>
          <w:color w:val="auto"/>
          <w:sz w:val="24"/>
          <w:highlight w:val="none"/>
          <w:lang w:eastAsia="zh-CN"/>
        </w:rPr>
        <w:t>部分</w:t>
      </w:r>
      <w:r>
        <w:rPr>
          <w:rFonts w:hint="eastAsia" w:ascii="宋体" w:hAnsi="宋体" w:eastAsia="宋体" w:cs="宋体"/>
          <w:b/>
          <w:color w:val="auto"/>
          <w:sz w:val="24"/>
          <w:highlight w:val="none"/>
        </w:rPr>
        <w:t>评审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（1）磋商小组依据磋商文件的规定，对各供应商提交的最后报价的完整性、合理性进行审查，必要时可要求供应商对其报价做出澄清、说明。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 xml:space="preserve">）报价修正；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）磋商小组根据供应商的报价和评审标准，计算各供应商的报价得分。</w:t>
      </w:r>
    </w:p>
    <w:p>
      <w:pPr>
        <w:pageBreakBefore w:val="0"/>
        <w:widowControl w:val="0"/>
        <w:numPr>
          <w:ilvl w:val="1"/>
          <w:numId w:val="4"/>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磋商结果</w:t>
      </w:r>
    </w:p>
    <w:p>
      <w:pPr>
        <w:pageBreakBefore w:val="0"/>
        <w:widowControl w:val="0"/>
        <w:numPr>
          <w:ilvl w:val="1"/>
          <w:numId w:val="4"/>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评审结果汇总，供应商结果排序；</w:t>
      </w:r>
    </w:p>
    <w:p>
      <w:pPr>
        <w:pageBreakBefore w:val="0"/>
        <w:widowControl w:val="0"/>
        <w:numPr>
          <w:ilvl w:val="1"/>
          <w:numId w:val="4"/>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起草磋商报告，确定成交候选人</w:t>
      </w:r>
      <w:r>
        <w:rPr>
          <w:rFonts w:hint="eastAsia" w:ascii="宋体" w:hAnsi="宋体" w:eastAsia="宋体" w:cs="宋体"/>
          <w:color w:val="auto"/>
          <w:sz w:val="24"/>
          <w:highlight w:val="none"/>
          <w:lang w:eastAsia="zh-CN"/>
        </w:rPr>
        <w:t>。</w:t>
      </w:r>
    </w:p>
    <w:bookmarkEnd w:id="9"/>
    <w:p>
      <w:pPr>
        <w:pStyle w:val="3"/>
        <w:pageBreakBefore w:val="0"/>
        <w:widowControl w:val="0"/>
        <w:numPr>
          <w:ilvl w:val="0"/>
          <w:numId w:val="1"/>
        </w:numPr>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color w:val="auto"/>
          <w:sz w:val="32"/>
          <w:szCs w:val="32"/>
          <w:highlight w:val="none"/>
        </w:rPr>
      </w:pPr>
      <w:bookmarkStart w:id="28" w:name="_Toc29782"/>
      <w:bookmarkStart w:id="29" w:name="_Toc15436"/>
      <w:bookmarkStart w:id="30" w:name="_Toc3684"/>
      <w:r>
        <w:rPr>
          <w:rFonts w:hint="eastAsia" w:ascii="宋体" w:hAnsi="宋体" w:eastAsia="宋体" w:cs="宋体"/>
          <w:color w:val="auto"/>
          <w:sz w:val="32"/>
          <w:szCs w:val="32"/>
          <w:highlight w:val="none"/>
        </w:rPr>
        <w:t>磋商内容及规定</w:t>
      </w:r>
      <w:bookmarkEnd w:id="10"/>
      <w:bookmarkEnd w:id="28"/>
      <w:bookmarkEnd w:id="29"/>
      <w:bookmarkEnd w:id="30"/>
      <w:bookmarkStart w:id="31" w:name="_Toc390938606"/>
      <w:bookmarkStart w:id="32" w:name="_Toc335664301"/>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outlineLvl w:val="2"/>
        <w:rPr>
          <w:rFonts w:hint="eastAsia" w:ascii="宋体" w:hAnsi="宋体" w:eastAsia="宋体" w:cs="宋体"/>
          <w:color w:val="auto"/>
          <w:highlight w:val="none"/>
        </w:rPr>
      </w:pPr>
      <w:bookmarkStart w:id="33" w:name="_Toc31261"/>
      <w:bookmarkStart w:id="34" w:name="_Toc3316"/>
      <w:bookmarkStart w:id="35" w:name="_Toc25133"/>
      <w:r>
        <w:rPr>
          <w:rFonts w:hint="eastAsia" w:ascii="宋体" w:hAnsi="宋体" w:eastAsia="宋体" w:cs="宋体"/>
          <w:color w:val="auto"/>
          <w:highlight w:val="none"/>
        </w:rPr>
        <w:t>本次评标采用综合评分法，总分100分。</w:t>
      </w:r>
      <w:bookmarkEnd w:id="33"/>
      <w:bookmarkEnd w:id="34"/>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资信</w:t>
      </w:r>
      <w:r>
        <w:rPr>
          <w:rFonts w:hint="eastAsia" w:ascii="宋体" w:hAnsi="宋体" w:eastAsia="宋体" w:cs="宋体"/>
          <w:color w:val="auto"/>
          <w:highlight w:val="none"/>
          <w:lang w:eastAsia="zh-CN"/>
        </w:rPr>
        <w:t>资信商务及技术文件</w:t>
      </w:r>
      <w:r>
        <w:rPr>
          <w:rFonts w:hint="eastAsia" w:ascii="宋体" w:hAnsi="宋体" w:eastAsia="宋体" w:cs="宋体"/>
          <w:color w:val="auto"/>
          <w:highlight w:val="none"/>
        </w:rPr>
        <w:t>分的权重为</w:t>
      </w:r>
      <w:r>
        <w:rPr>
          <w:rFonts w:hint="eastAsia" w:ascii="宋体" w:hAnsi="宋体" w:eastAsia="宋体" w:cs="宋体"/>
          <w:color w:val="auto"/>
          <w:highlight w:val="none"/>
          <w:u w:val="single"/>
          <w:lang w:val="en-US" w:eastAsia="zh-CN"/>
        </w:rPr>
        <w:t>90</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评标</w:t>
      </w:r>
      <w:r>
        <w:rPr>
          <w:rFonts w:hint="eastAsia" w:ascii="宋体" w:hAnsi="宋体" w:eastAsia="宋体" w:cs="宋体"/>
          <w:color w:val="auto"/>
          <w:highlight w:val="none"/>
        </w:rPr>
        <w:t>分值为</w:t>
      </w:r>
      <w:r>
        <w:rPr>
          <w:rFonts w:hint="eastAsia" w:ascii="宋体" w:hAnsi="宋体" w:eastAsia="宋体" w:cs="宋体"/>
          <w:color w:val="auto"/>
          <w:highlight w:val="none"/>
          <w:lang w:val="en-US" w:eastAsia="zh-CN"/>
        </w:rPr>
        <w:t>90</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评标委员会成员对各供应商的资信商务及技术文件经充分审核，按照客观、公正、审慎的原则,根据采购文件规定的评审程序、评审方法和评审标准进行独立评审。</w:t>
      </w:r>
      <w:r>
        <w:rPr>
          <w:rFonts w:hint="eastAsia" w:ascii="宋体" w:hAnsi="宋体" w:eastAsia="宋体" w:cs="宋体"/>
          <w:color w:val="auto"/>
          <w:highlight w:val="none"/>
        </w:rPr>
        <w:t>各有效</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的资信</w:t>
      </w:r>
      <w:r>
        <w:rPr>
          <w:rFonts w:hint="eastAsia" w:ascii="宋体" w:hAnsi="宋体" w:eastAsia="宋体" w:cs="宋体"/>
          <w:color w:val="auto"/>
          <w:highlight w:val="none"/>
          <w:lang w:eastAsia="zh-CN"/>
        </w:rPr>
        <w:t>资信商务及技术文件</w:t>
      </w:r>
      <w:r>
        <w:rPr>
          <w:rFonts w:hint="eastAsia" w:ascii="宋体" w:hAnsi="宋体" w:eastAsia="宋体" w:cs="宋体"/>
          <w:color w:val="auto"/>
          <w:highlight w:val="none"/>
        </w:rPr>
        <w:t>得分为各</w:t>
      </w:r>
      <w:r>
        <w:rPr>
          <w:rFonts w:hint="eastAsia" w:ascii="宋体" w:hAnsi="宋体" w:eastAsia="宋体" w:cs="宋体"/>
          <w:color w:val="auto"/>
          <w:highlight w:val="none"/>
          <w:lang w:eastAsia="zh-CN"/>
        </w:rPr>
        <w:t>评标委员会成员</w:t>
      </w:r>
      <w:r>
        <w:rPr>
          <w:rFonts w:hint="eastAsia" w:ascii="宋体" w:hAnsi="宋体" w:eastAsia="宋体" w:cs="宋体"/>
          <w:color w:val="auto"/>
          <w:highlight w:val="none"/>
        </w:rPr>
        <w:t>对该</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评标</w:t>
      </w:r>
      <w:r>
        <w:rPr>
          <w:rFonts w:hint="eastAsia" w:ascii="宋体" w:hAnsi="宋体" w:eastAsia="宋体" w:cs="宋体"/>
          <w:color w:val="auto"/>
          <w:highlight w:val="none"/>
        </w:rPr>
        <w:t>得分结果汇总后的算术平均值。</w:t>
      </w:r>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评标委员会成员</w:t>
      </w:r>
      <w:r>
        <w:rPr>
          <w:rFonts w:hint="eastAsia" w:ascii="宋体" w:hAnsi="宋体" w:eastAsia="宋体" w:cs="宋体"/>
          <w:color w:val="auto"/>
          <w:highlight w:val="none"/>
        </w:rPr>
        <w:t>要对</w:t>
      </w:r>
      <w:r>
        <w:rPr>
          <w:rFonts w:hint="eastAsia" w:ascii="宋体" w:hAnsi="宋体" w:eastAsia="宋体" w:cs="宋体"/>
          <w:color w:val="auto"/>
          <w:highlight w:val="none"/>
          <w:lang w:eastAsia="zh-CN"/>
        </w:rPr>
        <w:t>评定得分</w:t>
      </w:r>
      <w:r>
        <w:rPr>
          <w:rFonts w:hint="eastAsia" w:ascii="宋体" w:hAnsi="宋体" w:eastAsia="宋体" w:cs="宋体"/>
          <w:color w:val="auto"/>
          <w:highlight w:val="none"/>
        </w:rPr>
        <w:t>进行校对、核对</w:t>
      </w:r>
      <w:r>
        <w:rPr>
          <w:rFonts w:hint="eastAsia" w:ascii="宋体" w:hAnsi="宋体" w:eastAsia="宋体" w:cs="宋体"/>
          <w:color w:val="auto"/>
          <w:highlight w:val="none"/>
          <w:lang w:eastAsia="zh-CN"/>
        </w:rPr>
        <w:t>。如个人主观打分偏离所有评标委员会成员主观打分平均值30%以上的，评标委员会</w:t>
      </w:r>
      <w:r>
        <w:rPr>
          <w:rFonts w:hint="eastAsia" w:ascii="宋体" w:hAnsi="宋体" w:eastAsia="宋体" w:cs="宋体"/>
          <w:color w:val="auto"/>
          <w:highlight w:val="none"/>
        </w:rPr>
        <w:t>组长应</w:t>
      </w:r>
      <w:r>
        <w:rPr>
          <w:rFonts w:hint="eastAsia" w:ascii="宋体" w:hAnsi="宋体" w:eastAsia="宋体" w:cs="宋体"/>
          <w:color w:val="auto"/>
          <w:highlight w:val="none"/>
          <w:lang w:eastAsia="zh-CN"/>
        </w:rPr>
        <w:t>提醒相关</w:t>
      </w:r>
      <w:r>
        <w:rPr>
          <w:rFonts w:hint="eastAsia" w:ascii="宋体" w:hAnsi="宋体" w:eastAsia="宋体" w:cs="宋体"/>
          <w:color w:val="auto"/>
          <w:highlight w:val="none"/>
        </w:rPr>
        <w:t>评标委员会成员</w:t>
      </w:r>
      <w:r>
        <w:rPr>
          <w:rFonts w:hint="eastAsia" w:ascii="宋体" w:hAnsi="宋体" w:eastAsia="宋体" w:cs="宋体"/>
          <w:color w:val="auto"/>
          <w:highlight w:val="none"/>
          <w:lang w:eastAsia="zh-CN"/>
        </w:rPr>
        <w:t>进行复核或书面说明理由。</w:t>
      </w:r>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评标委员会对拟认定符合性审查不通过、投标无效、修改报价等的，应组织相关供应商进行陈述、澄清或申辩。</w:t>
      </w:r>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报价分的权重为</w:t>
      </w:r>
      <w:r>
        <w:rPr>
          <w:rFonts w:hint="eastAsia" w:ascii="宋体" w:hAnsi="宋体" w:eastAsia="宋体" w:cs="宋体"/>
          <w:color w:val="auto"/>
          <w:highlight w:val="none"/>
          <w:u w:val="singl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评标</w:t>
      </w:r>
      <w:r>
        <w:rPr>
          <w:rFonts w:hint="eastAsia" w:ascii="宋体" w:hAnsi="宋体" w:eastAsia="宋体" w:cs="宋体"/>
          <w:color w:val="auto"/>
          <w:highlight w:val="none"/>
        </w:rPr>
        <w:t>分值为</w:t>
      </w:r>
      <w:r>
        <w:rPr>
          <w:rFonts w:hint="eastAsia" w:ascii="宋体" w:hAnsi="宋体" w:eastAsia="宋体" w:cs="宋体"/>
          <w:color w:val="auto"/>
          <w:highlight w:val="none"/>
          <w:u w:val="single"/>
          <w:lang w:val="en-US" w:eastAsia="zh-CN"/>
        </w:rPr>
        <w:t>10</w:t>
      </w:r>
      <w:r>
        <w:rPr>
          <w:rFonts w:hint="eastAsia" w:ascii="宋体" w:hAnsi="宋体" w:eastAsia="宋体" w:cs="宋体"/>
          <w:color w:val="auto"/>
          <w:highlight w:val="none"/>
        </w:rPr>
        <w:t>分，由磋商小组按各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报价统一计算。</w:t>
      </w:r>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outlineLvl w:val="2"/>
        <w:rPr>
          <w:rFonts w:hint="eastAsia" w:ascii="宋体" w:hAnsi="宋体" w:eastAsia="宋体" w:cs="宋体"/>
          <w:color w:val="auto"/>
          <w:highlight w:val="none"/>
        </w:rPr>
      </w:pPr>
      <w:bookmarkStart w:id="36" w:name="_Toc16301"/>
      <w:bookmarkStart w:id="37" w:name="_Toc29132"/>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总得分=资信</w:t>
      </w:r>
      <w:r>
        <w:rPr>
          <w:rFonts w:hint="eastAsia" w:ascii="宋体" w:hAnsi="宋体" w:eastAsia="宋体" w:cs="宋体"/>
          <w:color w:val="auto"/>
          <w:highlight w:val="none"/>
          <w:lang w:eastAsia="zh-CN"/>
        </w:rPr>
        <w:t>资信商务及技术文件</w:t>
      </w:r>
      <w:r>
        <w:rPr>
          <w:rFonts w:hint="eastAsia" w:ascii="宋体" w:hAnsi="宋体" w:eastAsia="宋体" w:cs="宋体"/>
          <w:color w:val="auto"/>
          <w:highlight w:val="none"/>
        </w:rPr>
        <w:t>得分+报价得分。</w:t>
      </w:r>
      <w:bookmarkEnd w:id="36"/>
      <w:bookmarkEnd w:id="37"/>
    </w:p>
    <w:p>
      <w:pPr>
        <w:pStyle w:val="7"/>
        <w:pageBreakBefore w:val="0"/>
        <w:widowControl w:val="0"/>
        <w:numPr>
          <w:ilvl w:val="1"/>
          <w:numId w:val="5"/>
        </w:numPr>
        <w:kinsoku/>
        <w:wordWrap/>
        <w:overflowPunct/>
        <w:topLinePunct w:val="0"/>
        <w:autoSpaceDE/>
        <w:autoSpaceDN/>
        <w:bidi w:val="0"/>
        <w:adjustRightInd/>
        <w:snapToGrid/>
        <w:spacing w:line="360" w:lineRule="auto"/>
        <w:ind w:left="453" w:leftChars="0" w:hanging="453"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评标委员会成员</w:t>
      </w:r>
      <w:r>
        <w:rPr>
          <w:rFonts w:hint="eastAsia" w:ascii="宋体" w:hAnsi="宋体" w:eastAsia="宋体" w:cs="宋体"/>
          <w:color w:val="auto"/>
          <w:highlight w:val="none"/>
        </w:rPr>
        <w:t>在规定的分值范围内打分，评分保留两位小数。</w:t>
      </w:r>
    </w:p>
    <w:p>
      <w:pPr>
        <w:pStyle w:val="3"/>
        <w:pageBreakBefore w:val="0"/>
        <w:widowControl w:val="0"/>
        <w:numPr>
          <w:ilvl w:val="0"/>
          <w:numId w:val="1"/>
        </w:numPr>
        <w:kinsoku/>
        <w:wordWrap/>
        <w:overflowPunct/>
        <w:topLinePunct w:val="0"/>
        <w:autoSpaceDE/>
        <w:autoSpaceDN/>
        <w:bidi w:val="0"/>
        <w:adjustRightInd/>
        <w:snapToGrid/>
        <w:spacing w:line="360" w:lineRule="auto"/>
        <w:ind w:left="-420" w:leftChars="0" w:firstLine="420" w:firstLineChars="0"/>
        <w:textAlignment w:val="auto"/>
        <w:outlineLvl w:val="1"/>
        <w:rPr>
          <w:rFonts w:hint="eastAsia" w:ascii="宋体" w:hAnsi="宋体" w:eastAsia="宋体" w:cs="宋体"/>
          <w:color w:val="auto"/>
          <w:highlight w:val="none"/>
        </w:rPr>
      </w:pPr>
      <w:bookmarkStart w:id="38" w:name="_Toc18163"/>
      <w:bookmarkStart w:id="39" w:name="_Toc10509"/>
      <w:r>
        <w:rPr>
          <w:rFonts w:hint="eastAsia" w:ascii="宋体" w:hAnsi="宋体" w:eastAsia="宋体" w:cs="宋体"/>
          <w:color w:val="auto"/>
          <w:highlight w:val="none"/>
        </w:rPr>
        <w:t>评标办法和细则</w:t>
      </w:r>
      <w:bookmarkEnd w:id="35"/>
      <w:bookmarkEnd w:id="38"/>
      <w:bookmarkEnd w:id="39"/>
    </w:p>
    <w:p>
      <w:pPr>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sz w:val="24"/>
          <w:szCs w:val="24"/>
          <w:highlight w:val="none"/>
          <w:lang w:val="en-US" w:eastAsia="zh-CN"/>
        </w:rPr>
        <w:t>5.1</w:t>
      </w:r>
      <w:r>
        <w:rPr>
          <w:rFonts w:hint="eastAsia" w:ascii="宋体" w:hAnsi="宋体" w:eastAsia="宋体" w:cs="宋体"/>
          <w:sz w:val="24"/>
          <w:szCs w:val="24"/>
          <w:highlight w:val="none"/>
          <w:lang w:eastAsia="zh-CN"/>
        </w:rPr>
        <w:t>资信商务及技术文件</w:t>
      </w:r>
      <w:r>
        <w:rPr>
          <w:rFonts w:hint="eastAsia" w:ascii="宋体" w:hAnsi="宋体" w:eastAsia="宋体" w:cs="宋体"/>
          <w:sz w:val="24"/>
          <w:szCs w:val="24"/>
          <w:highlight w:val="none"/>
        </w:rPr>
        <w:t>分90分，详细评分见下表</w:t>
      </w:r>
      <w:r>
        <w:rPr>
          <w:rFonts w:hint="eastAsia" w:ascii="宋体" w:hAnsi="宋体" w:eastAsia="宋体" w:cs="宋体"/>
          <w:sz w:val="24"/>
          <w:szCs w:val="24"/>
          <w:highlight w:val="none"/>
          <w:lang w:eastAsia="zh-CN"/>
        </w:rPr>
        <w:t>：</w:t>
      </w:r>
    </w:p>
    <w:p>
      <w:pPr>
        <w:pageBreakBefore w:val="0"/>
        <w:widowControl w:val="0"/>
        <w:numPr>
          <w:ilvl w:val="2"/>
          <w:numId w:val="0"/>
        </w:numPr>
        <w:kinsoku/>
        <w:wordWrap/>
        <w:overflowPunct/>
        <w:topLinePunct w:val="0"/>
        <w:autoSpaceDE/>
        <w:autoSpaceDN/>
        <w:bidi w:val="0"/>
        <w:adjustRightInd/>
        <w:snapToGrid/>
        <w:spacing w:line="360" w:lineRule="auto"/>
        <w:textAlignment w:val="auto"/>
        <w:rPr>
          <w:rFonts w:hint="eastAsia"/>
        </w:rPr>
      </w:pPr>
      <w:r>
        <w:rPr>
          <w:rFonts w:hint="default" w:ascii="宋体" w:hAnsi="宋体" w:eastAsia="宋体" w:cs="宋体"/>
          <w:b w:val="0"/>
          <w:bCs w:val="0"/>
          <w:color w:val="auto"/>
          <w:kern w:val="2"/>
          <w:sz w:val="24"/>
          <w:szCs w:val="24"/>
          <w:lang w:val="en-US" w:eastAsia="zh-CN" w:bidi="ar-SA"/>
        </w:rPr>
        <w:t>5.1.1.</w:t>
      </w:r>
      <w:r>
        <w:rPr>
          <w:rFonts w:hint="eastAsia" w:ascii="宋体" w:hAnsi="宋体" w:eastAsia="宋体" w:cs="宋体"/>
          <w:sz w:val="24"/>
          <w:szCs w:val="24"/>
          <w:lang w:eastAsia="zh-CN"/>
        </w:rPr>
        <w:t>资信商务</w:t>
      </w:r>
      <w:r>
        <w:rPr>
          <w:rFonts w:hint="eastAsia" w:ascii="宋体" w:hAnsi="宋体" w:eastAsia="宋体" w:cs="宋体"/>
          <w:sz w:val="24"/>
          <w:szCs w:val="24"/>
        </w:rPr>
        <w:t>分为</w:t>
      </w:r>
      <w:r>
        <w:rPr>
          <w:rFonts w:hint="eastAsia" w:ascii="宋体" w:hAnsi="宋体" w:eastAsia="宋体" w:cs="宋体"/>
          <w:sz w:val="24"/>
          <w:szCs w:val="24"/>
          <w:lang w:val="en-US" w:eastAsia="zh-CN"/>
        </w:rPr>
        <w:t>4</w:t>
      </w:r>
      <w:r>
        <w:rPr>
          <w:rFonts w:hint="eastAsia" w:ascii="宋体" w:hAnsi="宋体" w:eastAsia="宋体" w:cs="宋体"/>
          <w:sz w:val="24"/>
          <w:szCs w:val="24"/>
        </w:rPr>
        <w:t>分，权重为</w:t>
      </w:r>
      <w:r>
        <w:rPr>
          <w:rFonts w:hint="eastAsia" w:ascii="宋体" w:hAnsi="宋体" w:eastAsia="宋体" w:cs="宋体"/>
          <w:sz w:val="24"/>
          <w:szCs w:val="24"/>
          <w:lang w:val="en-US" w:eastAsia="zh-CN"/>
        </w:rPr>
        <w:t>4</w:t>
      </w:r>
      <w:r>
        <w:rPr>
          <w:rFonts w:hint="eastAsia" w:ascii="宋体" w:hAnsi="宋体" w:eastAsia="宋体" w:cs="宋体"/>
          <w:sz w:val="24"/>
          <w:szCs w:val="24"/>
        </w:rPr>
        <w:t>%，根据以下内容由评委统一打分</w:t>
      </w:r>
    </w:p>
    <w:tbl>
      <w:tblPr>
        <w:tblStyle w:val="10"/>
        <w:tblW w:w="486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0"/>
        <w:gridCol w:w="1340"/>
        <w:gridCol w:w="5574"/>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447" w:type="pct"/>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宋体" w:hAnsi="宋体" w:eastAsia="宋体" w:cs="宋体"/>
                <w:b/>
                <w:bCs w:val="0"/>
                <w:sz w:val="22"/>
                <w:szCs w:val="22"/>
                <w:highlight w:val="none"/>
              </w:rPr>
            </w:pPr>
            <w:r>
              <w:rPr>
                <w:rFonts w:hint="eastAsia" w:ascii="宋体" w:hAnsi="宋体" w:eastAsia="宋体" w:cs="宋体"/>
                <w:b/>
                <w:bCs w:val="0"/>
                <w:sz w:val="22"/>
                <w:szCs w:val="22"/>
                <w:highlight w:val="none"/>
              </w:rPr>
              <w:t>序号</w:t>
            </w:r>
          </w:p>
        </w:tc>
        <w:tc>
          <w:tcPr>
            <w:tcW w:w="758" w:type="pct"/>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宋体" w:hAnsi="宋体" w:eastAsia="宋体" w:cs="宋体"/>
                <w:b/>
                <w:bCs w:val="0"/>
                <w:sz w:val="22"/>
                <w:szCs w:val="22"/>
                <w:highlight w:val="none"/>
              </w:rPr>
            </w:pPr>
            <w:r>
              <w:rPr>
                <w:rFonts w:hint="eastAsia" w:ascii="宋体" w:hAnsi="宋体" w:eastAsia="宋体" w:cs="宋体"/>
                <w:b/>
                <w:bCs w:val="0"/>
                <w:sz w:val="22"/>
                <w:szCs w:val="22"/>
                <w:highlight w:val="none"/>
              </w:rPr>
              <w:t>评审内容</w:t>
            </w:r>
          </w:p>
        </w:tc>
        <w:tc>
          <w:tcPr>
            <w:tcW w:w="3152" w:type="pct"/>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宋体" w:hAnsi="宋体" w:eastAsia="宋体" w:cs="宋体"/>
                <w:b/>
                <w:bCs w:val="0"/>
                <w:sz w:val="22"/>
                <w:szCs w:val="22"/>
                <w:highlight w:val="none"/>
              </w:rPr>
            </w:pPr>
            <w:r>
              <w:rPr>
                <w:rFonts w:hint="eastAsia" w:ascii="宋体" w:hAnsi="宋体" w:eastAsia="宋体" w:cs="宋体"/>
                <w:b/>
                <w:bCs w:val="0"/>
                <w:sz w:val="22"/>
                <w:szCs w:val="22"/>
                <w:highlight w:val="none"/>
              </w:rPr>
              <w:t>评分标准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宋体" w:hAnsi="宋体" w:eastAsia="宋体" w:cs="宋体"/>
                <w:b/>
                <w:bCs w:val="0"/>
                <w:sz w:val="22"/>
                <w:szCs w:val="22"/>
                <w:highlight w:val="none"/>
              </w:rPr>
            </w:pPr>
            <w:r>
              <w:rPr>
                <w:rFonts w:hint="eastAsia" w:ascii="宋体" w:hAnsi="宋体" w:eastAsia="宋体" w:cs="宋体"/>
                <w:b/>
                <w:bCs w:val="0"/>
                <w:sz w:val="22"/>
                <w:szCs w:val="22"/>
                <w:highlight w:val="none"/>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447"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105" w:rightChars="50" w:firstLine="0" w:firstLineChars="0"/>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1</w:t>
            </w:r>
          </w:p>
        </w:tc>
        <w:tc>
          <w:tcPr>
            <w:tcW w:w="758"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105" w:rightChars="50" w:firstLine="0" w:firstLineChars="0"/>
              <w:jc w:val="center"/>
              <w:rPr>
                <w:rFonts w:hint="eastAsia" w:ascii="宋体" w:hAnsi="宋体" w:eastAsia="宋体" w:cs="宋体"/>
                <w:b w:val="0"/>
                <w:bCs/>
                <w:sz w:val="22"/>
                <w:szCs w:val="22"/>
                <w:highlight w:val="none"/>
              </w:rPr>
            </w:pPr>
            <w:r>
              <w:rPr>
                <w:rFonts w:hint="eastAsia" w:ascii="宋体" w:hAnsi="宋体" w:eastAsia="宋体" w:cs="宋体"/>
                <w:b w:val="0"/>
                <w:bCs/>
                <w:sz w:val="22"/>
                <w:szCs w:val="22"/>
                <w:highlight w:val="none"/>
              </w:rPr>
              <w:t>类似业绩</w:t>
            </w:r>
          </w:p>
        </w:tc>
        <w:tc>
          <w:tcPr>
            <w:tcW w:w="3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val="0"/>
              <w:snapToGrid/>
              <w:spacing w:before="164" w:beforeLines="50" w:after="164" w:afterLines="50" w:line="240" w:lineRule="auto"/>
              <w:ind w:firstLine="0" w:firstLineChars="0"/>
              <w:jc w:val="left"/>
              <w:textAlignment w:val="baseline"/>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sz w:val="22"/>
                <w:szCs w:val="22"/>
              </w:rPr>
              <w:t>投标人自202</w:t>
            </w:r>
            <w:r>
              <w:rPr>
                <w:rFonts w:hint="eastAsia" w:ascii="宋体" w:hAnsi="宋体" w:eastAsia="宋体" w:cs="宋体"/>
                <w:b w:val="0"/>
                <w:bCs/>
                <w:color w:val="auto"/>
                <w:sz w:val="22"/>
                <w:szCs w:val="22"/>
                <w:lang w:val="en-US" w:eastAsia="zh-CN"/>
              </w:rPr>
              <w:t>1</w:t>
            </w:r>
            <w:r>
              <w:rPr>
                <w:rFonts w:hint="eastAsia" w:ascii="宋体" w:hAnsi="宋体" w:eastAsia="宋体" w:cs="宋体"/>
                <w:b w:val="0"/>
                <w:bCs/>
                <w:color w:val="auto"/>
                <w:sz w:val="22"/>
                <w:szCs w:val="22"/>
              </w:rPr>
              <w:t>年1月1日以来，承担过</w:t>
            </w:r>
            <w:r>
              <w:rPr>
                <w:rFonts w:hint="eastAsia" w:ascii="宋体" w:hAnsi="宋体" w:eastAsia="宋体" w:cs="宋体"/>
                <w:b w:val="0"/>
                <w:bCs/>
                <w:color w:val="auto"/>
                <w:sz w:val="22"/>
                <w:szCs w:val="22"/>
                <w:lang w:eastAsia="zh-CN"/>
              </w:rPr>
              <w:t>相似</w:t>
            </w:r>
            <w:r>
              <w:rPr>
                <w:rFonts w:hint="eastAsia" w:ascii="宋体" w:hAnsi="宋体" w:eastAsia="宋体" w:cs="宋体"/>
                <w:b w:val="0"/>
                <w:bCs/>
                <w:color w:val="auto"/>
                <w:sz w:val="22"/>
                <w:szCs w:val="22"/>
              </w:rPr>
              <w:t>项目成功案例的每个得</w:t>
            </w:r>
            <w:r>
              <w:rPr>
                <w:rFonts w:hint="eastAsia" w:ascii="宋体" w:hAnsi="宋体" w:eastAsia="宋体" w:cs="宋体"/>
                <w:b w:val="0"/>
                <w:bCs/>
                <w:color w:val="auto"/>
                <w:sz w:val="22"/>
                <w:szCs w:val="22"/>
                <w:lang w:val="en-US" w:eastAsia="zh-CN"/>
              </w:rPr>
              <w:t>1</w:t>
            </w:r>
            <w:r>
              <w:rPr>
                <w:rFonts w:hint="eastAsia" w:ascii="宋体" w:hAnsi="宋体" w:eastAsia="宋体" w:cs="宋体"/>
                <w:b w:val="0"/>
                <w:bCs/>
                <w:color w:val="auto"/>
                <w:sz w:val="22"/>
                <w:szCs w:val="22"/>
              </w:rPr>
              <w:t>分，本项最高得</w:t>
            </w:r>
            <w:r>
              <w:rPr>
                <w:rFonts w:hint="eastAsia" w:ascii="宋体" w:hAnsi="宋体" w:eastAsia="宋体" w:cs="宋体"/>
                <w:b w:val="0"/>
                <w:bCs/>
                <w:color w:val="auto"/>
                <w:sz w:val="22"/>
                <w:szCs w:val="22"/>
                <w:lang w:val="en-US" w:eastAsia="zh-CN"/>
              </w:rPr>
              <w:t>1</w:t>
            </w:r>
            <w:r>
              <w:rPr>
                <w:rFonts w:hint="eastAsia" w:ascii="宋体" w:hAnsi="宋体" w:eastAsia="宋体" w:cs="宋体"/>
                <w:b w:val="0"/>
                <w:bCs/>
                <w:color w:val="auto"/>
                <w:sz w:val="22"/>
                <w:szCs w:val="22"/>
              </w:rPr>
              <w:t>分</w:t>
            </w:r>
            <w:r>
              <w:rPr>
                <w:rFonts w:hint="eastAsia" w:ascii="宋体" w:hAnsi="宋体" w:eastAsia="宋体" w:cs="宋体"/>
                <w:b w:val="0"/>
                <w:bCs/>
                <w:color w:val="auto"/>
                <w:kern w:val="0"/>
                <w:sz w:val="22"/>
                <w:szCs w:val="22"/>
                <w:highlight w:val="none"/>
              </w:rPr>
              <w:t>。</w:t>
            </w:r>
          </w:p>
          <w:p>
            <w:pPr>
              <w:adjustRightInd w:val="0"/>
              <w:snapToGrid w:val="0"/>
              <w:ind w:left="0" w:leftChars="0" w:right="105" w:rightChars="50" w:firstLine="0" w:firstLineChars="0"/>
              <w:rPr>
                <w:rFonts w:hint="eastAsia" w:ascii="宋体" w:hAnsi="宋体" w:eastAsia="宋体" w:cs="宋体"/>
                <w:b w:val="0"/>
                <w:bCs/>
                <w:sz w:val="22"/>
                <w:szCs w:val="22"/>
                <w:highlight w:val="none"/>
              </w:rPr>
            </w:pPr>
            <w:r>
              <w:rPr>
                <w:rFonts w:hint="eastAsia" w:ascii="宋体" w:hAnsi="宋体" w:eastAsia="宋体" w:cs="宋体"/>
                <w:b/>
                <w:bCs w:val="0"/>
                <w:color w:val="auto"/>
                <w:kern w:val="0"/>
                <w:sz w:val="22"/>
                <w:szCs w:val="22"/>
                <w:highlight w:val="none"/>
                <w:lang w:val="en-US" w:eastAsia="zh-CN" w:bidi="ar-SA"/>
              </w:rPr>
              <w:t>注：须提供合同</w:t>
            </w:r>
            <w:r>
              <w:rPr>
                <w:rFonts w:hint="eastAsia" w:ascii="宋体" w:hAnsi="宋体" w:eastAsia="宋体" w:cs="宋体"/>
                <w:b/>
                <w:bCs w:val="0"/>
                <w:color w:val="auto"/>
                <w:sz w:val="22"/>
                <w:szCs w:val="22"/>
                <w:highlight w:val="none"/>
                <w:lang w:val="en-US" w:eastAsia="zh-CN" w:bidi="ar-SA"/>
              </w:rPr>
              <w:t>复印件</w:t>
            </w:r>
            <w:r>
              <w:rPr>
                <w:rFonts w:hint="eastAsia" w:ascii="宋体" w:hAnsi="宋体" w:eastAsia="宋体" w:cs="宋体"/>
                <w:b/>
                <w:bCs w:val="0"/>
                <w:color w:val="auto"/>
                <w:kern w:val="0"/>
                <w:sz w:val="22"/>
                <w:szCs w:val="22"/>
                <w:highlight w:val="none"/>
                <w:lang w:val="en-US" w:eastAsia="zh-CN" w:bidi="ar-SA"/>
              </w:rPr>
              <w:t>并加盖公章，否则不得分。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105" w:rightChars="50" w:firstLine="0" w:firstLineChars="0"/>
              <w:jc w:val="center"/>
              <w:rPr>
                <w:rFonts w:hint="eastAsia" w:ascii="宋体" w:hAnsi="宋体" w:eastAsia="宋体" w:cs="宋体"/>
                <w:b w:val="0"/>
                <w:bCs/>
                <w:sz w:val="22"/>
                <w:szCs w:val="22"/>
                <w:highlight w:val="none"/>
              </w:rPr>
            </w:pPr>
            <w:r>
              <w:rPr>
                <w:rFonts w:hint="eastAsia" w:ascii="宋体" w:hAnsi="宋体" w:eastAsia="宋体" w:cs="宋体"/>
                <w:b w:val="0"/>
                <w:bCs/>
                <w:sz w:val="22"/>
                <w:szCs w:val="22"/>
                <w:highlight w:val="none"/>
              </w:rPr>
              <w:t>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447"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105" w:rightChars="50" w:firstLine="0" w:firstLineChars="0"/>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2</w:t>
            </w:r>
          </w:p>
        </w:tc>
        <w:tc>
          <w:tcPr>
            <w:tcW w:w="758"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105" w:rightChars="50" w:firstLine="0" w:firstLineChars="0"/>
              <w:jc w:val="center"/>
              <w:rPr>
                <w:rFonts w:hint="eastAsia" w:ascii="宋体" w:hAnsi="宋体" w:eastAsia="宋体" w:cs="宋体"/>
                <w:b w:val="0"/>
                <w:bCs/>
                <w:sz w:val="22"/>
                <w:szCs w:val="22"/>
                <w:highlight w:val="none"/>
              </w:rPr>
            </w:pPr>
            <w:r>
              <w:rPr>
                <w:rFonts w:hint="eastAsia" w:ascii="宋体" w:hAnsi="宋体" w:eastAsia="宋体" w:cs="宋体"/>
                <w:b w:val="0"/>
                <w:bCs/>
                <w:sz w:val="22"/>
                <w:szCs w:val="22"/>
                <w:highlight w:val="none"/>
                <w:lang w:val="en-US" w:eastAsia="zh-CN"/>
              </w:rPr>
              <w:t>认证证书</w:t>
            </w:r>
          </w:p>
        </w:tc>
        <w:tc>
          <w:tcPr>
            <w:tcW w:w="3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val="0"/>
              <w:snapToGrid/>
              <w:spacing w:before="164" w:beforeLines="50" w:after="164" w:afterLines="50" w:line="240" w:lineRule="auto"/>
              <w:ind w:firstLine="0" w:firstLineChars="0"/>
              <w:jc w:val="left"/>
              <w:textAlignment w:val="baseline"/>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sz w:val="22"/>
                <w:szCs w:val="22"/>
              </w:rPr>
              <w:t>投标人</w:t>
            </w:r>
            <w:r>
              <w:rPr>
                <w:rFonts w:hint="eastAsia" w:ascii="宋体" w:hAnsi="宋体" w:eastAsia="宋体" w:cs="宋体"/>
                <w:b w:val="0"/>
                <w:bCs/>
                <w:color w:val="auto"/>
                <w:kern w:val="0"/>
                <w:sz w:val="22"/>
                <w:szCs w:val="22"/>
                <w:highlight w:val="none"/>
              </w:rPr>
              <w:t>具有</w:t>
            </w:r>
            <w:r>
              <w:rPr>
                <w:rFonts w:hint="eastAsia" w:ascii="宋体" w:hAnsi="宋体" w:eastAsia="宋体" w:cs="宋体"/>
                <w:b w:val="0"/>
                <w:bCs/>
                <w:color w:val="auto"/>
                <w:kern w:val="0"/>
                <w:sz w:val="22"/>
                <w:szCs w:val="22"/>
                <w:highlight w:val="none"/>
                <w:lang w:val="en-US" w:eastAsia="zh-CN"/>
              </w:rPr>
              <w:t>有效期内的</w:t>
            </w:r>
            <w:r>
              <w:rPr>
                <w:rFonts w:hint="eastAsia" w:ascii="宋体" w:hAnsi="宋体" w:eastAsia="宋体" w:cs="宋体"/>
                <w:b w:val="0"/>
                <w:bCs/>
                <w:color w:val="auto"/>
                <w:kern w:val="0"/>
                <w:sz w:val="22"/>
                <w:szCs w:val="22"/>
                <w:highlight w:val="none"/>
              </w:rPr>
              <w:t>质量管理体系认证证书、环境管理体系认证证书、职业健康管理系统认证证书的每个得</w:t>
            </w:r>
            <w:r>
              <w:rPr>
                <w:rFonts w:hint="eastAsia" w:ascii="宋体" w:hAnsi="宋体" w:eastAsia="宋体" w:cs="宋体"/>
                <w:b w:val="0"/>
                <w:bCs/>
                <w:color w:val="auto"/>
                <w:kern w:val="0"/>
                <w:sz w:val="22"/>
                <w:szCs w:val="22"/>
                <w:highlight w:val="none"/>
                <w:lang w:val="en-US" w:eastAsia="zh-CN"/>
              </w:rPr>
              <w:t>1</w:t>
            </w:r>
            <w:r>
              <w:rPr>
                <w:rFonts w:hint="eastAsia" w:ascii="宋体" w:hAnsi="宋体" w:eastAsia="宋体" w:cs="宋体"/>
                <w:b w:val="0"/>
                <w:bCs/>
                <w:color w:val="auto"/>
                <w:kern w:val="0"/>
                <w:sz w:val="22"/>
                <w:szCs w:val="22"/>
                <w:highlight w:val="none"/>
              </w:rPr>
              <w:t>分，最高得</w:t>
            </w:r>
            <w:r>
              <w:rPr>
                <w:rFonts w:hint="eastAsia" w:ascii="宋体" w:hAnsi="宋体" w:eastAsia="宋体" w:cs="宋体"/>
                <w:b w:val="0"/>
                <w:bCs/>
                <w:color w:val="auto"/>
                <w:kern w:val="0"/>
                <w:sz w:val="22"/>
                <w:szCs w:val="22"/>
                <w:highlight w:val="none"/>
                <w:lang w:val="en-US" w:eastAsia="zh-CN"/>
              </w:rPr>
              <w:t>3</w:t>
            </w:r>
            <w:r>
              <w:rPr>
                <w:rFonts w:hint="eastAsia" w:ascii="宋体" w:hAnsi="宋体" w:eastAsia="宋体" w:cs="宋体"/>
                <w:b w:val="0"/>
                <w:bCs/>
                <w:color w:val="auto"/>
                <w:kern w:val="0"/>
                <w:sz w:val="22"/>
                <w:szCs w:val="22"/>
                <w:highlight w:val="none"/>
              </w:rPr>
              <w:t>分。</w:t>
            </w:r>
          </w:p>
          <w:p>
            <w:pPr>
              <w:adjustRightInd w:val="0"/>
              <w:snapToGrid w:val="0"/>
              <w:ind w:left="0" w:leftChars="0" w:right="105" w:rightChars="50" w:firstLine="0" w:firstLineChars="0"/>
              <w:rPr>
                <w:rFonts w:hint="eastAsia" w:ascii="宋体" w:hAnsi="宋体" w:eastAsia="宋体" w:cs="宋体"/>
                <w:b w:val="0"/>
                <w:bCs/>
                <w:sz w:val="22"/>
                <w:szCs w:val="22"/>
                <w:highlight w:val="none"/>
              </w:rPr>
            </w:pPr>
            <w:r>
              <w:rPr>
                <w:rFonts w:hint="eastAsia" w:ascii="宋体" w:hAnsi="宋体" w:eastAsia="宋体" w:cs="宋体"/>
                <w:b/>
                <w:bCs w:val="0"/>
                <w:color w:val="auto"/>
                <w:sz w:val="22"/>
                <w:szCs w:val="22"/>
                <w:highlight w:val="none"/>
                <w:lang w:val="en-US" w:eastAsia="zh-CN" w:bidi="ar-SA"/>
              </w:rPr>
              <w:t>注：须提供相关证书复印件并加盖公章，否则不得分。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0" w:leftChars="0" w:right="105" w:rightChars="50" w:firstLine="0" w:firstLineChars="0"/>
              <w:jc w:val="center"/>
              <w:rPr>
                <w:rFonts w:hint="eastAsia" w:ascii="宋体" w:hAnsi="宋体" w:eastAsia="宋体" w:cs="宋体"/>
                <w:b w:val="0"/>
                <w:bCs/>
                <w:sz w:val="22"/>
                <w:szCs w:val="22"/>
                <w:highlight w:val="none"/>
              </w:rPr>
            </w:pPr>
            <w:r>
              <w:rPr>
                <w:rFonts w:hint="eastAsia" w:ascii="宋体" w:hAnsi="宋体" w:eastAsia="宋体" w:cs="宋体"/>
                <w:b w:val="0"/>
                <w:bCs/>
                <w:sz w:val="22"/>
                <w:szCs w:val="22"/>
                <w:highlight w:val="none"/>
              </w:rPr>
              <w:t>0～</w:t>
            </w:r>
            <w:r>
              <w:rPr>
                <w:rFonts w:hint="eastAsia" w:ascii="宋体" w:hAnsi="宋体" w:eastAsia="宋体" w:cs="宋体"/>
                <w:b w:val="0"/>
                <w:bCs/>
                <w:sz w:val="22"/>
                <w:szCs w:val="22"/>
                <w:highlight w:val="none"/>
                <w:lang w:val="en-US" w:eastAsia="zh-CN"/>
              </w:rPr>
              <w:t>3</w:t>
            </w:r>
            <w:r>
              <w:rPr>
                <w:rFonts w:hint="eastAsia" w:ascii="宋体" w:hAnsi="宋体" w:eastAsia="宋体" w:cs="宋体"/>
                <w:b w:val="0"/>
                <w:bCs/>
                <w:sz w:val="22"/>
                <w:szCs w:val="22"/>
                <w:highlight w:val="none"/>
              </w:rPr>
              <w:t>分</w:t>
            </w:r>
          </w:p>
        </w:tc>
      </w:tr>
    </w:tbl>
    <w:p>
      <w:pPr>
        <w:keepNext w:val="0"/>
        <w:keepLines w:val="0"/>
        <w:pageBreakBefore w:val="0"/>
        <w:widowControl w:val="0"/>
        <w:numPr>
          <w:ilvl w:val="2"/>
          <w:numId w:val="0"/>
        </w:numPr>
        <w:kinsoku/>
        <w:wordWrap/>
        <w:overflowPunct/>
        <w:topLinePunct w:val="0"/>
        <w:autoSpaceDE/>
        <w:autoSpaceDN/>
        <w:bidi w:val="0"/>
        <w:adjustRightInd/>
        <w:snapToGrid/>
        <w:spacing w:line="480" w:lineRule="atLeas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kern w:val="2"/>
          <w:sz w:val="24"/>
          <w:szCs w:val="24"/>
          <w:lang w:val="en-US" w:eastAsia="zh-CN" w:bidi="ar-SA"/>
        </w:rPr>
        <w:t>5.1.2</w:t>
      </w:r>
      <w:r>
        <w:rPr>
          <w:rFonts w:hint="eastAsia" w:ascii="宋体" w:hAnsi="宋体" w:eastAsia="宋体" w:cs="宋体"/>
          <w:color w:val="auto"/>
          <w:sz w:val="24"/>
          <w:szCs w:val="24"/>
        </w:rPr>
        <w:t>技术分为8</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分，权重为8</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%，由评委独立完成打分</w:t>
      </w:r>
    </w:p>
    <w:tbl>
      <w:tblPr>
        <w:tblStyle w:val="10"/>
        <w:tblW w:w="490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6"/>
        <w:gridCol w:w="1350"/>
        <w:gridCol w:w="5632"/>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360" w:lineRule="exact"/>
              <w:ind w:left="0" w:leftChars="0" w:right="0" w:rightChars="0" w:firstLine="0" w:firstLineChars="0"/>
              <w:jc w:val="center"/>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序号</w:t>
            </w:r>
          </w:p>
        </w:tc>
        <w:tc>
          <w:tcPr>
            <w:tcW w:w="7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360" w:lineRule="exact"/>
              <w:ind w:left="0" w:leftChars="0" w:right="0" w:rightChars="0" w:firstLine="0" w:firstLineChars="0"/>
              <w:jc w:val="center"/>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评审内容</w:t>
            </w: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360" w:lineRule="exact"/>
              <w:ind w:left="0" w:leftChars="0" w:right="0" w:rightChars="0" w:firstLine="0" w:firstLineChars="0"/>
              <w:jc w:val="center"/>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评分标准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360" w:lineRule="exact"/>
              <w:ind w:left="0" w:leftChars="0" w:right="0" w:rightChars="0" w:firstLine="0" w:firstLineChars="0"/>
              <w:jc w:val="center"/>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441"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1</w:t>
            </w:r>
          </w:p>
        </w:tc>
        <w:tc>
          <w:tcPr>
            <w:tcW w:w="7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r>
              <w:rPr>
                <w:rFonts w:hint="eastAsia" w:ascii="宋体" w:hAnsi="宋体" w:eastAsia="宋体" w:cs="宋体"/>
                <w:color w:val="auto"/>
                <w:kern w:val="0"/>
                <w:sz w:val="22"/>
                <w:szCs w:val="22"/>
                <w:highlight w:val="none"/>
                <w:lang w:val="en-US" w:eastAsia="zh-CN"/>
              </w:rPr>
              <w:t>项目理解及实施</w:t>
            </w: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b w:val="0"/>
                <w:bCs/>
                <w:color w:val="auto"/>
                <w:sz w:val="22"/>
                <w:szCs w:val="22"/>
                <w:highlight w:val="none"/>
              </w:rPr>
            </w:pPr>
            <w:r>
              <w:rPr>
                <w:rFonts w:hint="eastAsia" w:ascii="宋体" w:hAnsi="宋体" w:eastAsia="宋体" w:cs="宋体"/>
                <w:color w:val="auto"/>
                <w:sz w:val="22"/>
                <w:szCs w:val="22"/>
                <w:lang w:val="en-US" w:eastAsia="zh-CN"/>
              </w:rPr>
              <w:t>根据投标人结合项目建设要求，</w:t>
            </w:r>
            <w:r>
              <w:rPr>
                <w:rFonts w:hint="eastAsia" w:ascii="宋体" w:hAnsi="宋体" w:eastAsia="宋体" w:cs="宋体"/>
                <w:color w:val="auto"/>
                <w:sz w:val="22"/>
                <w:szCs w:val="22"/>
                <w:lang w:val="zh-CN" w:eastAsia="zh-CN"/>
              </w:rPr>
              <w:t>对项目理解到位、</w:t>
            </w:r>
            <w:r>
              <w:rPr>
                <w:rFonts w:hint="eastAsia" w:ascii="宋体" w:hAnsi="宋体" w:eastAsia="宋体" w:cs="宋体"/>
                <w:color w:val="auto"/>
                <w:sz w:val="22"/>
                <w:szCs w:val="22"/>
                <w:lang w:val="en-US" w:eastAsia="zh-CN"/>
              </w:rPr>
              <w:t>技术能力先进、功能介绍全面性，由评委评定打分。对于</w:t>
            </w:r>
            <w:r>
              <w:rPr>
                <w:rFonts w:hint="eastAsia" w:ascii="宋体" w:hAnsi="宋体" w:eastAsia="宋体" w:cs="宋体"/>
                <w:color w:val="auto"/>
                <w:sz w:val="22"/>
                <w:szCs w:val="22"/>
                <w:lang w:val="zh-CN" w:eastAsia="zh-CN"/>
              </w:rPr>
              <w:t>项目理解深刻的、</w:t>
            </w:r>
            <w:r>
              <w:rPr>
                <w:rFonts w:hint="eastAsia" w:ascii="宋体" w:hAnsi="宋体" w:eastAsia="宋体" w:cs="宋体"/>
                <w:color w:val="auto"/>
                <w:sz w:val="22"/>
                <w:szCs w:val="22"/>
                <w:lang w:val="en-US" w:eastAsia="zh-CN"/>
              </w:rPr>
              <w:t>技术能力先进、功能介绍全面的得5.1～8分，对于</w:t>
            </w:r>
            <w:r>
              <w:rPr>
                <w:rFonts w:hint="eastAsia" w:ascii="宋体" w:hAnsi="宋体" w:eastAsia="宋体" w:cs="宋体"/>
                <w:color w:val="auto"/>
                <w:sz w:val="22"/>
                <w:szCs w:val="22"/>
                <w:lang w:val="zh-CN" w:eastAsia="zh-CN"/>
              </w:rPr>
              <w:t>项目理解一般、</w:t>
            </w:r>
            <w:r>
              <w:rPr>
                <w:rFonts w:hint="eastAsia" w:ascii="宋体" w:hAnsi="宋体" w:eastAsia="宋体" w:cs="宋体"/>
                <w:color w:val="auto"/>
                <w:sz w:val="22"/>
                <w:szCs w:val="22"/>
                <w:lang w:val="en-US" w:eastAsia="zh-CN"/>
              </w:rPr>
              <w:t>技术能力一般性、功能介绍一般得2.1～5分，对于</w:t>
            </w:r>
            <w:r>
              <w:rPr>
                <w:rFonts w:hint="eastAsia" w:ascii="宋体" w:hAnsi="宋体" w:eastAsia="宋体" w:cs="宋体"/>
                <w:color w:val="auto"/>
                <w:sz w:val="22"/>
                <w:szCs w:val="22"/>
                <w:lang w:val="zh-CN" w:eastAsia="zh-CN"/>
              </w:rPr>
              <w:t>项目理解程度较差、</w:t>
            </w:r>
            <w:r>
              <w:rPr>
                <w:rFonts w:hint="eastAsia" w:ascii="宋体" w:hAnsi="宋体" w:eastAsia="宋体" w:cs="宋体"/>
                <w:color w:val="auto"/>
                <w:sz w:val="22"/>
                <w:szCs w:val="22"/>
                <w:lang w:val="en-US" w:eastAsia="zh-CN"/>
              </w:rPr>
              <w:t>技术能力较差、功能介绍不全的得0～2分。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8</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1"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yellow"/>
                <w:lang w:val="en-US" w:eastAsia="zh-CN"/>
              </w:rPr>
            </w:pPr>
          </w:p>
        </w:tc>
        <w:tc>
          <w:tcPr>
            <w:tcW w:w="757"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yellow"/>
              </w:rPr>
            </w:pP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b w:val="0"/>
                <w:bCs/>
                <w:color w:val="auto"/>
                <w:sz w:val="22"/>
                <w:szCs w:val="22"/>
                <w:highlight w:val="yellow"/>
              </w:rPr>
            </w:pPr>
            <w:r>
              <w:rPr>
                <w:rFonts w:hint="eastAsia" w:ascii="宋体" w:hAnsi="宋体" w:eastAsia="宋体" w:cs="宋体"/>
                <w:color w:val="auto"/>
                <w:sz w:val="22"/>
                <w:szCs w:val="22"/>
                <w:highlight w:val="yellow"/>
                <w:lang w:val="en-US" w:eastAsia="zh-CN"/>
              </w:rPr>
              <w:t>根据投标人提供的项目实施方案完整性、合理性、可行性等，由评委评定打分。项目实施方案完整、合理性强、可行性高的得8.1～12分，项目实施方案完整性一般、合理性一般、可行性一般的得4.1～8分，项目实施方案完整性差、合理性差、可行性不高的得0～4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yellow"/>
              </w:rPr>
            </w:pPr>
            <w:r>
              <w:rPr>
                <w:rFonts w:hint="eastAsia" w:ascii="宋体" w:hAnsi="宋体" w:eastAsia="宋体" w:cs="宋体"/>
                <w:b w:val="0"/>
                <w:bCs/>
                <w:color w:val="auto"/>
                <w:sz w:val="22"/>
                <w:szCs w:val="22"/>
                <w:highlight w:val="yellow"/>
              </w:rPr>
              <w:t>0～</w:t>
            </w:r>
            <w:r>
              <w:rPr>
                <w:rFonts w:hint="eastAsia" w:ascii="宋体" w:hAnsi="宋体" w:eastAsia="宋体" w:cs="宋体"/>
                <w:b w:val="0"/>
                <w:bCs/>
                <w:color w:val="auto"/>
                <w:sz w:val="22"/>
                <w:szCs w:val="22"/>
                <w:highlight w:val="yellow"/>
                <w:lang w:val="en-US" w:eastAsia="zh-CN"/>
              </w:rPr>
              <w:t>12</w:t>
            </w:r>
            <w:r>
              <w:rPr>
                <w:rFonts w:hint="eastAsia" w:ascii="宋体" w:hAnsi="宋体" w:eastAsia="宋体" w:cs="宋体"/>
                <w:b w:val="0"/>
                <w:bCs/>
                <w:color w:val="auto"/>
                <w:sz w:val="22"/>
                <w:szCs w:val="22"/>
                <w:highlight w:val="yellow"/>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441"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p>
        </w:tc>
        <w:tc>
          <w:tcPr>
            <w:tcW w:w="757"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根据投标人对实施进度计划及进度保证措施的完整性、合理性、可行性等，由评委评定打分。实施进度计划及进度保证措施完整、合理性强、可行性高的得5.1～8分，实施进度计划及进度保证措施完整性一般、合理性一般、可行性一般的得2.1～5分，实施进度计划及进度保证措施完整性差、合理性差、可行性不高的得0～2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8</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41"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p>
        </w:tc>
        <w:tc>
          <w:tcPr>
            <w:tcW w:w="757"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提供项目验收方案，验收方案完整、详细、全面，由评委评定打分。验收方案完整、详细、全面的得5.1～8分，验收方案完整性一般、详细性一般、全面性一般的得2.1～5分，验收方案不完整、不够详细、不全面的得0～2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8</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0" w:hRule="atLeast"/>
          <w:jc w:val="center"/>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2</w:t>
            </w:r>
          </w:p>
        </w:tc>
        <w:tc>
          <w:tcPr>
            <w:tcW w:w="7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产品性能参数符合度</w:t>
            </w: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w:t>
            </w:r>
            <w:r>
              <w:rPr>
                <w:rFonts w:hint="eastAsia" w:ascii="宋体" w:hAnsi="宋体" w:eastAsia="宋体" w:cs="宋体"/>
                <w:color w:val="auto"/>
                <w:kern w:val="0"/>
                <w:sz w:val="22"/>
                <w:szCs w:val="22"/>
                <w:highlight w:val="none"/>
                <w:lang w:val="en-US" w:eastAsia="zh-CN"/>
              </w:rPr>
              <w:t>磋商</w:t>
            </w:r>
            <w:r>
              <w:rPr>
                <w:rFonts w:hint="eastAsia" w:ascii="宋体" w:hAnsi="宋体" w:eastAsia="宋体" w:cs="宋体"/>
                <w:color w:val="auto"/>
                <w:kern w:val="0"/>
                <w:sz w:val="22"/>
                <w:szCs w:val="22"/>
                <w:highlight w:val="none"/>
              </w:rPr>
              <w:t>文件对所列需求和技术指标的符合程度评分，全部响应的得满分，其中打★参数为重要的性能指标及技术参数，按要求提供相关证明，负偏离或缺漏项的每项扣</w:t>
            </w:r>
            <w:r>
              <w:rPr>
                <w:rFonts w:hint="eastAsia" w:ascii="宋体" w:hAnsi="宋体" w:eastAsia="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分，其他性能指标及技术参数，负偏离或缺漏项的每项扣</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分，扣完为止。</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30</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441"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3</w:t>
            </w:r>
          </w:p>
        </w:tc>
        <w:tc>
          <w:tcPr>
            <w:tcW w:w="7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项目团队</w:t>
            </w: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0" w:rightChars="0" w:firstLine="0" w:firstLineChars="0"/>
              <w:textAlignment w:val="baseline"/>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项目</w:t>
            </w:r>
            <w:r>
              <w:rPr>
                <w:rFonts w:hint="eastAsia" w:ascii="宋体" w:hAnsi="宋体" w:eastAsia="宋体" w:cs="宋体"/>
                <w:b/>
                <w:color w:val="auto"/>
                <w:kern w:val="0"/>
                <w:sz w:val="22"/>
                <w:szCs w:val="22"/>
                <w:highlight w:val="none"/>
                <w:lang w:val="en-US" w:eastAsia="zh-CN"/>
              </w:rPr>
              <w:t>负责人</w:t>
            </w:r>
            <w:r>
              <w:rPr>
                <w:rFonts w:hint="eastAsia" w:ascii="宋体" w:hAnsi="宋体" w:eastAsia="宋体" w:cs="宋体"/>
                <w:b/>
                <w:color w:val="auto"/>
                <w:kern w:val="0"/>
                <w:sz w:val="22"/>
                <w:szCs w:val="22"/>
                <w:highlight w:val="none"/>
              </w:rPr>
              <w:t>：</w:t>
            </w:r>
          </w:p>
          <w:p>
            <w:pPr>
              <w:keepNext w:val="0"/>
              <w:keepLines w:val="0"/>
              <w:pageBreakBefore w:val="0"/>
              <w:kinsoku/>
              <w:wordWrap/>
              <w:overflowPunct/>
              <w:topLinePunct w:val="0"/>
              <w:autoSpaceDE/>
              <w:autoSpaceDN/>
              <w:bidi w:val="0"/>
              <w:adjustRightInd w:val="0"/>
              <w:snapToGrid/>
              <w:spacing w:before="164" w:beforeLines="50" w:after="164" w:afterLines="50" w:line="240" w:lineRule="auto"/>
              <w:ind w:left="0" w:leftChars="0" w:right="105" w:rightChars="50" w:firstLine="0" w:firstLineChars="0"/>
              <w:textAlignment w:val="baseline"/>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项目负责人同时具有信息系统项目管理师（高级）、通信工程师和</w:t>
            </w:r>
            <w:r>
              <w:rPr>
                <w:rFonts w:hint="eastAsia" w:ascii="宋体" w:hAnsi="宋体" w:eastAsia="宋体" w:cs="宋体"/>
                <w:color w:val="auto"/>
                <w:kern w:val="0"/>
                <w:sz w:val="22"/>
                <w:szCs w:val="22"/>
                <w:highlight w:val="yellow"/>
                <w:lang w:eastAsia="zh-CN"/>
              </w:rPr>
              <w:t>网络设计师</w:t>
            </w:r>
            <w:r>
              <w:rPr>
                <w:rFonts w:hint="eastAsia" w:ascii="宋体" w:hAnsi="宋体" w:eastAsia="宋体" w:cs="宋体"/>
                <w:color w:val="auto"/>
                <w:kern w:val="0"/>
                <w:sz w:val="22"/>
                <w:szCs w:val="22"/>
                <w:highlight w:val="none"/>
              </w:rPr>
              <w:t>的得4分，满足一项得1分，满足两项得2分。</w:t>
            </w:r>
          </w:p>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color w:val="auto"/>
                <w:kern w:val="0"/>
                <w:sz w:val="22"/>
                <w:szCs w:val="22"/>
                <w:highlight w:val="none"/>
              </w:rPr>
            </w:pPr>
            <w:r>
              <w:rPr>
                <w:rFonts w:hint="eastAsia" w:ascii="宋体" w:hAnsi="宋体" w:eastAsia="宋体" w:cs="宋体"/>
                <w:b/>
                <w:color w:val="auto"/>
                <w:kern w:val="0"/>
                <w:sz w:val="22"/>
                <w:szCs w:val="22"/>
                <w:highlight w:val="none"/>
              </w:rPr>
              <w:t>【须提供相关人员证书</w:t>
            </w:r>
            <w:r>
              <w:rPr>
                <w:rFonts w:hint="eastAsia" w:ascii="宋体" w:hAnsi="宋体" w:eastAsia="宋体" w:cs="宋体"/>
                <w:b/>
                <w:color w:val="auto"/>
                <w:kern w:val="0"/>
                <w:sz w:val="22"/>
                <w:szCs w:val="22"/>
                <w:highlight w:val="none"/>
                <w:lang w:eastAsia="zh-CN"/>
              </w:rPr>
              <w:t>复印件</w:t>
            </w:r>
            <w:r>
              <w:rPr>
                <w:rFonts w:hint="eastAsia" w:ascii="宋体" w:hAnsi="宋体" w:eastAsia="宋体" w:cs="宋体"/>
                <w:b/>
                <w:color w:val="auto"/>
                <w:kern w:val="0"/>
                <w:sz w:val="22"/>
                <w:szCs w:val="22"/>
                <w:highlight w:val="none"/>
              </w:rPr>
              <w:t>，否则不得分。】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textAlignment w:val="auto"/>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4</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441"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p>
        </w:tc>
        <w:tc>
          <w:tcPr>
            <w:tcW w:w="757"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color w:val="auto"/>
                <w:kern w:val="0"/>
                <w:sz w:val="22"/>
                <w:szCs w:val="22"/>
                <w:highlight w:val="none"/>
              </w:rPr>
            </w:pP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0" w:rightChars="0" w:firstLine="0" w:firstLineChars="0"/>
              <w:textAlignment w:val="baseline"/>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项目组成员：</w:t>
            </w:r>
          </w:p>
          <w:p>
            <w:pPr>
              <w:keepNext w:val="0"/>
              <w:keepLines w:val="0"/>
              <w:pageBreakBefore w:val="0"/>
              <w:kinsoku/>
              <w:wordWrap/>
              <w:overflowPunct/>
              <w:topLinePunct w:val="0"/>
              <w:autoSpaceDE w:val="0"/>
              <w:autoSpaceDN w:val="0"/>
              <w:bidi w:val="0"/>
              <w:adjustRightInd w:val="0"/>
              <w:snapToGrid/>
              <w:spacing w:before="164" w:beforeLines="50" w:after="164" w:afterLines="50" w:line="240" w:lineRule="auto"/>
              <w:ind w:firstLine="0" w:firstLineChars="0"/>
              <w:textAlignment w:val="baseline"/>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项目组成员具有</w:t>
            </w:r>
            <w:r>
              <w:rPr>
                <w:rFonts w:hint="eastAsia" w:ascii="宋体" w:hAnsi="宋体" w:eastAsia="宋体" w:cs="宋体"/>
                <w:color w:val="auto"/>
                <w:kern w:val="0"/>
                <w:sz w:val="22"/>
                <w:szCs w:val="22"/>
                <w:highlight w:val="yellow"/>
                <w:lang w:val="en-US" w:eastAsia="zh-CN"/>
              </w:rPr>
              <w:t>高级通信工程师</w:t>
            </w:r>
            <w:r>
              <w:rPr>
                <w:rFonts w:hint="eastAsia" w:ascii="宋体" w:hAnsi="宋体" w:eastAsia="宋体" w:cs="宋体"/>
                <w:color w:val="auto"/>
                <w:kern w:val="0"/>
                <w:sz w:val="22"/>
                <w:szCs w:val="22"/>
                <w:highlight w:val="yellow"/>
                <w:lang w:eastAsia="zh-CN"/>
              </w:rPr>
              <w:t>、系统架构师</w:t>
            </w:r>
            <w:r>
              <w:rPr>
                <w:rFonts w:hint="eastAsia" w:ascii="宋体" w:hAnsi="宋体" w:eastAsia="宋体" w:cs="宋体"/>
                <w:color w:val="auto"/>
                <w:kern w:val="0"/>
                <w:sz w:val="22"/>
                <w:szCs w:val="22"/>
                <w:highlight w:val="yellow"/>
              </w:rPr>
              <w:t>、</w:t>
            </w:r>
            <w:r>
              <w:rPr>
                <w:rFonts w:hint="eastAsia" w:ascii="宋体" w:hAnsi="宋体" w:eastAsia="宋体" w:cs="宋体"/>
                <w:color w:val="auto"/>
                <w:kern w:val="0"/>
                <w:sz w:val="22"/>
                <w:szCs w:val="22"/>
                <w:highlight w:val="yellow"/>
                <w:lang w:eastAsia="zh-CN"/>
              </w:rPr>
              <w:t>软件设计师</w:t>
            </w:r>
            <w:r>
              <w:rPr>
                <w:rFonts w:hint="eastAsia" w:ascii="宋体" w:hAnsi="宋体" w:eastAsia="宋体" w:cs="宋体"/>
                <w:color w:val="auto"/>
                <w:kern w:val="0"/>
                <w:sz w:val="22"/>
                <w:szCs w:val="22"/>
                <w:highlight w:val="yellow"/>
              </w:rPr>
              <w:t>证书</w:t>
            </w:r>
            <w:r>
              <w:rPr>
                <w:rFonts w:hint="eastAsia" w:ascii="宋体" w:hAnsi="宋体" w:eastAsia="宋体" w:cs="宋体"/>
                <w:color w:val="auto"/>
                <w:kern w:val="0"/>
                <w:sz w:val="22"/>
                <w:szCs w:val="22"/>
                <w:highlight w:val="none"/>
              </w:rPr>
              <w:t>，每个证书得1分，最高得3分。</w:t>
            </w:r>
          </w:p>
          <w:p>
            <w:pPr>
              <w:keepNext w:val="0"/>
              <w:keepLines w:val="0"/>
              <w:pageBreakBefore w:val="0"/>
              <w:kinsoku/>
              <w:wordWrap/>
              <w:overflowPunct/>
              <w:topLinePunct w:val="0"/>
              <w:autoSpaceDE w:val="0"/>
              <w:autoSpaceDN w:val="0"/>
              <w:bidi w:val="0"/>
              <w:adjustRightInd w:val="0"/>
              <w:snapToGrid/>
              <w:spacing w:before="164" w:beforeLines="50" w:after="164" w:afterLines="50" w:line="240" w:lineRule="auto"/>
              <w:ind w:firstLine="0" w:firstLineChars="0"/>
              <w:textAlignment w:val="baseline"/>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【须提供相关人员证书</w:t>
            </w:r>
            <w:r>
              <w:rPr>
                <w:rFonts w:hint="eastAsia" w:ascii="宋体" w:hAnsi="宋体" w:eastAsia="宋体" w:cs="宋体"/>
                <w:b/>
                <w:color w:val="auto"/>
                <w:kern w:val="0"/>
                <w:sz w:val="22"/>
                <w:szCs w:val="22"/>
                <w:highlight w:val="none"/>
                <w:lang w:eastAsia="zh-CN"/>
              </w:rPr>
              <w:t>复印件</w:t>
            </w:r>
            <w:r>
              <w:rPr>
                <w:rFonts w:hint="eastAsia" w:ascii="宋体" w:hAnsi="宋体" w:eastAsia="宋体" w:cs="宋体"/>
                <w:b/>
                <w:color w:val="auto"/>
                <w:kern w:val="0"/>
                <w:sz w:val="22"/>
                <w:szCs w:val="22"/>
                <w:highlight w:val="none"/>
              </w:rPr>
              <w:t>，否则不得分。】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textAlignment w:val="auto"/>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3</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441"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4</w:t>
            </w:r>
          </w:p>
        </w:tc>
        <w:tc>
          <w:tcPr>
            <w:tcW w:w="757" w:type="pc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质量保证措施</w:t>
            </w: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highlight w:val="none"/>
              </w:rPr>
              <w:t>质量保证措施合理，有利于项目实施</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sz w:val="22"/>
                <w:szCs w:val="22"/>
                <w:lang w:val="en-US" w:eastAsia="zh-CN"/>
              </w:rPr>
              <w:t>由评委评定打分。</w:t>
            </w:r>
            <w:r>
              <w:rPr>
                <w:rFonts w:hint="eastAsia" w:ascii="宋体" w:hAnsi="宋体" w:eastAsia="宋体" w:cs="宋体"/>
                <w:color w:val="auto"/>
                <w:kern w:val="0"/>
                <w:sz w:val="22"/>
                <w:szCs w:val="22"/>
                <w:highlight w:val="none"/>
              </w:rPr>
              <w:t>质量保证措施合理</w:t>
            </w:r>
            <w:r>
              <w:rPr>
                <w:rFonts w:hint="eastAsia" w:ascii="宋体" w:hAnsi="宋体" w:eastAsia="宋体" w:cs="宋体"/>
                <w:color w:val="auto"/>
                <w:kern w:val="0"/>
                <w:sz w:val="22"/>
                <w:szCs w:val="22"/>
                <w:highlight w:val="none"/>
                <w:lang w:eastAsia="zh-CN"/>
              </w:rPr>
              <w:t>性强的得</w:t>
            </w:r>
            <w:r>
              <w:rPr>
                <w:rFonts w:hint="eastAsia" w:ascii="宋体" w:hAnsi="宋体" w:eastAsia="宋体" w:cs="宋体"/>
                <w:color w:val="auto"/>
                <w:kern w:val="0"/>
                <w:sz w:val="22"/>
                <w:szCs w:val="22"/>
                <w:highlight w:val="none"/>
                <w:lang w:val="en-US" w:eastAsia="zh-CN"/>
              </w:rPr>
              <w:t>4.1</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highlight w:val="none"/>
                <w:lang w:val="en-US" w:eastAsia="zh-CN"/>
              </w:rPr>
              <w:t>5分，合理性一般的2.1</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highlight w:val="none"/>
                <w:lang w:val="en-US" w:eastAsia="zh-CN"/>
              </w:rPr>
              <w:t>4分，不够合理的得0</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highlight w:val="none"/>
                <w:lang w:val="en-US" w:eastAsia="zh-CN"/>
              </w:rPr>
              <w:t>2分。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5</w:t>
            </w:r>
            <w:r>
              <w:rPr>
                <w:rFonts w:hint="eastAsia" w:ascii="宋体" w:hAnsi="宋体" w:eastAsia="宋体" w:cs="宋体"/>
                <w:b w:val="0"/>
                <w:bCs/>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5</w:t>
            </w:r>
          </w:p>
        </w:tc>
        <w:tc>
          <w:tcPr>
            <w:tcW w:w="757"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售后服务保障</w:t>
            </w:r>
          </w:p>
        </w:tc>
        <w:tc>
          <w:tcPr>
            <w:tcW w:w="3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rPr>
                <w:rFonts w:hint="eastAsia" w:ascii="宋体" w:hAnsi="宋体" w:eastAsia="宋体" w:cs="宋体"/>
                <w:b/>
                <w:color w:val="auto"/>
                <w:kern w:val="0"/>
                <w:sz w:val="22"/>
                <w:szCs w:val="22"/>
                <w:highlight w:val="none"/>
              </w:rPr>
            </w:pPr>
            <w:r>
              <w:rPr>
                <w:rFonts w:hint="eastAsia" w:ascii="宋体" w:hAnsi="宋体" w:eastAsia="宋体" w:cs="宋体"/>
                <w:color w:val="auto"/>
                <w:kern w:val="0"/>
                <w:sz w:val="22"/>
                <w:szCs w:val="22"/>
                <w:highlight w:val="none"/>
                <w:lang w:eastAsia="zh-CN"/>
              </w:rPr>
              <w:t>根据</w:t>
            </w:r>
            <w:r>
              <w:rPr>
                <w:rFonts w:hint="eastAsia" w:ascii="宋体" w:hAnsi="宋体" w:eastAsia="宋体" w:cs="宋体"/>
                <w:color w:val="auto"/>
                <w:kern w:val="0"/>
                <w:sz w:val="22"/>
                <w:szCs w:val="22"/>
                <w:highlight w:val="none"/>
              </w:rPr>
              <w:t>投标人</w:t>
            </w:r>
            <w:r>
              <w:rPr>
                <w:rFonts w:hint="eastAsia" w:ascii="宋体" w:hAnsi="宋体" w:eastAsia="宋体" w:cs="宋体"/>
                <w:color w:val="auto"/>
                <w:kern w:val="0"/>
                <w:sz w:val="22"/>
                <w:szCs w:val="22"/>
                <w:highlight w:val="none"/>
                <w:lang w:eastAsia="zh-CN"/>
              </w:rPr>
              <w:t>提供针对本项目的售后服务保障方案，</w:t>
            </w:r>
            <w:r>
              <w:rPr>
                <w:rFonts w:hint="eastAsia" w:ascii="宋体" w:hAnsi="宋体" w:eastAsia="宋体" w:cs="宋体"/>
                <w:color w:val="auto"/>
                <w:kern w:val="0"/>
                <w:sz w:val="22"/>
                <w:szCs w:val="22"/>
                <w:highlight w:val="none"/>
              </w:rPr>
              <w:t>是否科学合理</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是否有完善</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sz w:val="22"/>
                <w:szCs w:val="22"/>
                <w:lang w:val="en-US" w:eastAsia="zh-CN"/>
              </w:rPr>
              <w:t>由评委评定打分。</w:t>
            </w:r>
            <w:r>
              <w:rPr>
                <w:rFonts w:hint="eastAsia" w:ascii="宋体" w:hAnsi="宋体" w:eastAsia="宋体" w:cs="宋体"/>
                <w:color w:val="auto"/>
                <w:kern w:val="0"/>
                <w:sz w:val="22"/>
                <w:szCs w:val="22"/>
                <w:highlight w:val="none"/>
                <w:lang w:eastAsia="zh-CN"/>
              </w:rPr>
              <w:t>售后服务保障方案科学合理、完善的得</w:t>
            </w:r>
            <w:r>
              <w:rPr>
                <w:rFonts w:hint="eastAsia" w:ascii="宋体" w:hAnsi="宋体" w:eastAsia="宋体" w:cs="宋体"/>
                <w:color w:val="auto"/>
                <w:kern w:val="0"/>
                <w:sz w:val="22"/>
                <w:szCs w:val="22"/>
                <w:highlight w:val="none"/>
                <w:lang w:val="en-US" w:eastAsia="zh-CN"/>
              </w:rPr>
              <w:t>5.1</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highlight w:val="none"/>
                <w:lang w:val="en-US" w:eastAsia="zh-CN"/>
              </w:rPr>
              <w:t>8分，</w:t>
            </w:r>
            <w:r>
              <w:rPr>
                <w:rFonts w:hint="eastAsia" w:ascii="宋体" w:hAnsi="宋体" w:eastAsia="宋体" w:cs="宋体"/>
                <w:color w:val="auto"/>
                <w:kern w:val="0"/>
                <w:sz w:val="22"/>
                <w:szCs w:val="22"/>
                <w:highlight w:val="none"/>
                <w:lang w:eastAsia="zh-CN"/>
              </w:rPr>
              <w:t>售后服务保障方案科学合理性一般的、完善性一般的得</w:t>
            </w:r>
            <w:r>
              <w:rPr>
                <w:rFonts w:hint="eastAsia" w:ascii="宋体" w:hAnsi="宋体" w:eastAsia="宋体" w:cs="宋体"/>
                <w:color w:val="auto"/>
                <w:kern w:val="0"/>
                <w:sz w:val="22"/>
                <w:szCs w:val="22"/>
                <w:highlight w:val="none"/>
                <w:lang w:val="en-US" w:eastAsia="zh-CN"/>
              </w:rPr>
              <w:t>2.1</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highlight w:val="none"/>
                <w:lang w:val="en-US" w:eastAsia="zh-CN"/>
              </w:rPr>
              <w:t>5分，</w:t>
            </w:r>
            <w:r>
              <w:rPr>
                <w:rFonts w:hint="eastAsia" w:ascii="宋体" w:hAnsi="宋体" w:eastAsia="宋体" w:cs="宋体"/>
                <w:color w:val="auto"/>
                <w:kern w:val="0"/>
                <w:sz w:val="22"/>
                <w:szCs w:val="22"/>
                <w:highlight w:val="none"/>
                <w:lang w:eastAsia="zh-CN"/>
              </w:rPr>
              <w:t>售后服务保障方案科学合理性较差、完善性较差的得</w:t>
            </w:r>
            <w:r>
              <w:rPr>
                <w:rFonts w:hint="eastAsia" w:ascii="宋体" w:hAnsi="宋体" w:eastAsia="宋体" w:cs="宋体"/>
                <w:color w:val="auto"/>
                <w:kern w:val="0"/>
                <w:sz w:val="22"/>
                <w:szCs w:val="22"/>
                <w:highlight w:val="none"/>
                <w:lang w:val="en-US" w:eastAsia="zh-CN"/>
              </w:rPr>
              <w:t>0</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highlight w:val="none"/>
                <w:lang w:val="en-US" w:eastAsia="zh-CN"/>
              </w:rPr>
              <w:t>2分。</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360" w:lineRule="exact"/>
              <w:ind w:left="0" w:leftChars="0" w:right="0" w:rightChars="0" w:firstLine="0" w:firstLineChars="0"/>
              <w:jc w:val="center"/>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0～</w:t>
            </w:r>
            <w:r>
              <w:rPr>
                <w:rFonts w:hint="eastAsia" w:ascii="宋体" w:hAnsi="宋体" w:eastAsia="宋体" w:cs="宋体"/>
                <w:b w:val="0"/>
                <w:bCs/>
                <w:color w:val="auto"/>
                <w:sz w:val="22"/>
                <w:szCs w:val="22"/>
                <w:highlight w:val="none"/>
                <w:lang w:val="en-US" w:eastAsia="zh-CN"/>
              </w:rPr>
              <w:t>8</w:t>
            </w:r>
            <w:r>
              <w:rPr>
                <w:rFonts w:hint="eastAsia" w:ascii="宋体" w:hAnsi="宋体" w:eastAsia="宋体" w:cs="宋体"/>
                <w:b w:val="0"/>
                <w:bCs/>
                <w:color w:val="auto"/>
                <w:sz w:val="22"/>
                <w:szCs w:val="22"/>
                <w:highlight w:val="none"/>
              </w:rPr>
              <w:t>分</w:t>
            </w:r>
          </w:p>
        </w:tc>
      </w:tr>
    </w:tbl>
    <w:p>
      <w:pPr>
        <w:pStyle w:val="5"/>
        <w:rPr>
          <w:rFonts w:hint="default"/>
          <w:lang w:val="en-US" w:eastAsia="zh-CN"/>
        </w:rPr>
      </w:pPr>
    </w:p>
    <w:p>
      <w:pPr>
        <w:keepNext w:val="0"/>
        <w:keepLines w:val="0"/>
        <w:pageBreakBefore w:val="0"/>
        <w:widowControl w:val="0"/>
        <w:numPr>
          <w:ilvl w:val="2"/>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default" w:ascii="宋体" w:hAnsi="宋体" w:eastAsia="宋体" w:cs="宋体"/>
          <w:b w:val="0"/>
          <w:bCs w:val="0"/>
          <w:color w:val="auto"/>
          <w:kern w:val="2"/>
          <w:sz w:val="24"/>
          <w:szCs w:val="24"/>
          <w:lang w:val="en-US" w:eastAsia="zh-CN" w:bidi="ar-SA"/>
        </w:rPr>
        <w:t>5.1.</w:t>
      </w:r>
      <w:r>
        <w:rPr>
          <w:rFonts w:hint="eastAsia" w:ascii="宋体" w:hAnsi="宋体" w:cs="宋体"/>
          <w:b w:val="0"/>
          <w:bCs w:val="0"/>
          <w:color w:val="auto"/>
          <w:kern w:val="2"/>
          <w:sz w:val="24"/>
          <w:szCs w:val="24"/>
          <w:lang w:val="en-US" w:eastAsia="zh-CN" w:bidi="ar-SA"/>
        </w:rPr>
        <w:t>3</w:t>
      </w:r>
      <w:r>
        <w:rPr>
          <w:rFonts w:hint="default" w:ascii="宋体" w:hAnsi="宋体" w:eastAsia="宋体" w:cs="宋体"/>
          <w:b w:val="0"/>
          <w:bCs w:val="0"/>
          <w:color w:val="auto"/>
          <w:kern w:val="2"/>
          <w:sz w:val="24"/>
          <w:szCs w:val="24"/>
          <w:lang w:val="en-US" w:eastAsia="zh-CN" w:bidi="ar-SA"/>
        </w:rPr>
        <w:t>.</w:t>
      </w:r>
      <w:r>
        <w:rPr>
          <w:rFonts w:hint="eastAsia" w:ascii="宋体" w:hAnsi="宋体" w:eastAsia="宋体" w:cs="宋体"/>
          <w:color w:val="auto"/>
          <w:sz w:val="24"/>
          <w:highlight w:val="none"/>
        </w:rPr>
        <w:t>报价得分为</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分,权重为</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 ，由评委根据以下内容统一计算打分：</w:t>
      </w:r>
    </w:p>
    <w:p>
      <w:pPr>
        <w:keepNext w:val="0"/>
        <w:keepLines w:val="0"/>
        <w:pageBreakBefore w:val="0"/>
        <w:widowControl w:val="0"/>
        <w:numPr>
          <w:ilvl w:val="3"/>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default" w:ascii="宋体" w:hAnsi="宋体" w:eastAsia="宋体" w:cs="宋体"/>
          <w:b w:val="0"/>
          <w:bCs w:val="0"/>
          <w:color w:val="auto"/>
          <w:kern w:val="2"/>
          <w:sz w:val="24"/>
          <w:szCs w:val="24"/>
          <w:lang w:val="en-US" w:eastAsia="zh-CN" w:bidi="ar-SA"/>
        </w:rPr>
        <w:t>5.</w:t>
      </w:r>
      <w:r>
        <w:rPr>
          <w:rFonts w:hint="eastAsia" w:ascii="宋体" w:hAnsi="宋体" w:cs="宋体"/>
          <w:b w:val="0"/>
          <w:bCs w:val="0"/>
          <w:color w:val="auto"/>
          <w:kern w:val="2"/>
          <w:sz w:val="24"/>
          <w:szCs w:val="24"/>
          <w:lang w:val="en-US" w:eastAsia="zh-CN" w:bidi="ar-SA"/>
        </w:rPr>
        <w:t>2</w:t>
      </w:r>
      <w:r>
        <w:rPr>
          <w:rFonts w:hint="eastAsia" w:ascii="宋体" w:hAnsi="宋体" w:eastAsia="宋体" w:cs="宋体"/>
          <w:color w:val="auto"/>
          <w:sz w:val="24"/>
          <w:highlight w:val="none"/>
        </w:rPr>
        <w:t>报价评分应在投标报价范围口径一致的评定价基础上进行。属招标文件不清楚引起的报价内容和口径不一致的，则按有关规定统一调整投标报价内容和口径，计算出供应商的最终评定价。属供应商失误造成的报价差错和遗漏，不得调整。</w:t>
      </w:r>
    </w:p>
    <w:p>
      <w:pPr>
        <w:keepNext w:val="0"/>
        <w:keepLines w:val="0"/>
        <w:pageBreakBefore w:val="0"/>
        <w:widowControl w:val="0"/>
        <w:numPr>
          <w:ilvl w:val="3"/>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default" w:ascii="宋体" w:hAnsi="宋体" w:eastAsia="宋体" w:cs="宋体"/>
          <w:b w:val="0"/>
          <w:bCs w:val="0"/>
          <w:color w:val="auto"/>
          <w:kern w:val="2"/>
          <w:sz w:val="24"/>
          <w:szCs w:val="24"/>
          <w:lang w:val="en-US" w:eastAsia="zh-CN" w:bidi="ar-SA"/>
        </w:rPr>
        <w:t>5.</w:t>
      </w:r>
      <w:r>
        <w:rPr>
          <w:rFonts w:hint="eastAsia" w:ascii="宋体" w:hAnsi="宋体" w:cs="宋体"/>
          <w:b w:val="0"/>
          <w:bCs w:val="0"/>
          <w:color w:val="auto"/>
          <w:kern w:val="2"/>
          <w:sz w:val="24"/>
          <w:szCs w:val="24"/>
          <w:lang w:val="en-US" w:eastAsia="zh-CN" w:bidi="ar-SA"/>
        </w:rPr>
        <w:t>2.1</w:t>
      </w:r>
      <w:r>
        <w:rPr>
          <w:rFonts w:hint="default" w:ascii="宋体" w:hAnsi="宋体" w:eastAsia="宋体" w:cs="宋体"/>
          <w:b w:val="0"/>
          <w:bCs w:val="0"/>
          <w:color w:val="auto"/>
          <w:kern w:val="2"/>
          <w:sz w:val="24"/>
          <w:szCs w:val="24"/>
          <w:lang w:val="en-US" w:eastAsia="zh-CN" w:bidi="ar-SA"/>
        </w:rPr>
        <w:t>.</w:t>
      </w:r>
      <w:r>
        <w:rPr>
          <w:rFonts w:hint="eastAsia" w:ascii="宋体" w:hAnsi="宋体" w:eastAsia="宋体" w:cs="宋体"/>
          <w:color w:val="auto"/>
          <w:sz w:val="24"/>
          <w:highlight w:val="none"/>
        </w:rPr>
        <w:t>最终报价超过最高限价的供应商不进入报价评分。</w:t>
      </w:r>
    </w:p>
    <w:p>
      <w:pPr>
        <w:keepNext w:val="0"/>
        <w:keepLines w:val="0"/>
        <w:pageBreakBefore w:val="0"/>
        <w:widowControl w:val="0"/>
        <w:numPr>
          <w:ilvl w:val="3"/>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color w:val="auto"/>
          <w:sz w:val="24"/>
          <w:highlight w:val="none"/>
        </w:rPr>
      </w:pPr>
      <w:r>
        <w:rPr>
          <w:rFonts w:hint="default" w:ascii="宋体" w:hAnsi="宋体" w:eastAsia="宋体" w:cs="宋体"/>
          <w:b w:val="0"/>
          <w:bCs w:val="0"/>
          <w:color w:val="auto"/>
          <w:kern w:val="2"/>
          <w:sz w:val="24"/>
          <w:szCs w:val="24"/>
          <w:lang w:val="en-US" w:eastAsia="zh-CN" w:bidi="ar-SA"/>
        </w:rPr>
        <w:t>5.</w:t>
      </w:r>
      <w:r>
        <w:rPr>
          <w:rFonts w:hint="eastAsia" w:ascii="宋体" w:hAnsi="宋体" w:cs="宋体"/>
          <w:b w:val="0"/>
          <w:bCs w:val="0"/>
          <w:color w:val="auto"/>
          <w:kern w:val="2"/>
          <w:sz w:val="24"/>
          <w:szCs w:val="24"/>
          <w:lang w:val="en-US" w:eastAsia="zh-CN" w:bidi="ar-SA"/>
        </w:rPr>
        <w:t>2.2</w:t>
      </w:r>
      <w:r>
        <w:rPr>
          <w:rFonts w:hint="default" w:ascii="宋体" w:hAnsi="宋体" w:eastAsia="宋体" w:cs="宋体"/>
          <w:b w:val="0"/>
          <w:bCs w:val="0"/>
          <w:color w:val="auto"/>
          <w:kern w:val="2"/>
          <w:sz w:val="24"/>
          <w:szCs w:val="24"/>
          <w:lang w:val="en-US" w:eastAsia="zh-CN" w:bidi="ar-SA"/>
        </w:rPr>
        <w:t>.</w:t>
      </w:r>
      <w:r>
        <w:rPr>
          <w:rFonts w:hint="eastAsia" w:ascii="宋体" w:hAnsi="宋体" w:eastAsia="宋体" w:cs="宋体"/>
          <w:b/>
          <w:color w:val="auto"/>
          <w:sz w:val="24"/>
          <w:highlight w:val="none"/>
        </w:rPr>
        <w:t>报价得分按以下方式计算：</w:t>
      </w:r>
    </w:p>
    <w:bookmarkEnd w:id="31"/>
    <w:bookmarkEnd w:id="32"/>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1）小微企业、监狱企业和残疾人福利企业（统称为小微企业）报价给予20%的扣除；联合协议或者分包意向协议约定小微企业的合同份额占到合同总金额 30%以上的，对联合体或者大中型企业的报价给予6%的扣除；其评审价计算公式如下：</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评审价=有效报价×（100%-20%或6%）；</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（2）并以调整后的价格计算评标基准价和评标价；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（3）评标基准价=进入报价评分的各投标人有效评标价中的最低评标价；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（4）投标报价等于评标基准价的得</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分，其他供应商的报价得分按下列公式计算：</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投标报价得分=（评定基准价/投标报价）×最大分值。</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5.3 本项目最终得分=商务技术得分＋报价得分；</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5.4 评分时保留小数2位，计算评分值时保留小数2位，小数点采用四舍五入方法。</w:t>
      </w:r>
      <w:bookmarkStart w:id="40" w:name="EB217c00f118724f6bb5745c5cec252819"/>
    </w:p>
    <w:bookmarkEnd w:id="40"/>
    <w:p>
      <w:pPr>
        <w:pStyle w:val="3"/>
        <w:pageBreakBefore w:val="0"/>
        <w:widowControl w:val="0"/>
        <w:numPr>
          <w:ilvl w:val="0"/>
          <w:numId w:val="1"/>
        </w:numPr>
        <w:kinsoku/>
        <w:wordWrap/>
        <w:overflowPunct/>
        <w:topLinePunct w:val="0"/>
        <w:autoSpaceDE/>
        <w:autoSpaceDN/>
        <w:bidi w:val="0"/>
        <w:adjustRightInd/>
        <w:snapToGrid/>
        <w:ind w:left="-420" w:leftChars="0" w:firstLine="420" w:firstLineChars="0"/>
        <w:textAlignment w:val="auto"/>
        <w:outlineLvl w:val="1"/>
        <w:rPr>
          <w:rFonts w:hint="eastAsia" w:ascii="宋体" w:hAnsi="宋体" w:eastAsia="宋体" w:cs="宋体"/>
          <w:color w:val="auto"/>
          <w:highlight w:val="none"/>
        </w:rPr>
      </w:pPr>
      <w:bookmarkStart w:id="41" w:name="_Toc98493188"/>
      <w:bookmarkStart w:id="42" w:name="_Toc9127"/>
      <w:bookmarkStart w:id="43" w:name="_Toc2719"/>
      <w:r>
        <w:rPr>
          <w:rFonts w:hint="eastAsia" w:ascii="宋体" w:hAnsi="宋体" w:eastAsia="宋体" w:cs="宋体"/>
          <w:color w:val="auto"/>
          <w:highlight w:val="none"/>
        </w:rPr>
        <w:t>磋商纪律和要求</w:t>
      </w:r>
      <w:bookmarkEnd w:id="41"/>
      <w:bookmarkEnd w:id="42"/>
      <w:bookmarkEnd w:id="43"/>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磋商小组成员必须公平、公正评审，遵纪守法，客观、廉洁地履行职责。</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磋商小组成员在评审开始前，应关闭并上交随身携带的各种通信工具。</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磋商小组成员在评审过程中，未经许可不得中途离开评审现场，不得迟到早退。</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磋商小组成员和工作人员不得透露评审过程中的讨论情况和评审结果。</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时，磋商小组成员须按磋商文件规定的程序、条件和标准，对供应商响应文件的合规性、完整性和有效性进行审查、比较和评估，其中对供应商的资格条件、主要技术参数、报价和其他评审要素等，磋商小组成员应逐项进行审查、比较，不得漏评少评。如发现与磋商文件要求相偏离的，应对其偏离情形进行必要的核实，并在工作底稿中予以说明；如属于实质性偏离或符合无效响应文件的，可询问供应商，并允许供应商进行陈述申辩，但不允许其对偏离条款进行补充、修正或撤回。</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采购人、采购代理机构不得向磋商小组的磋商小组成员作倾向性、误导性的解释或者说明。</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应当为磋商小组成员提供必要的评审条件和相应的评审工作底稿，并严格按规定程序组织磋商小组成员有步骤地进行项目评审，对各磋商小组成员的评审情况和评审意见进行合理性和合规性审查，对明显畸高、畸低的重大差异评审情况（如其总评分偏离平均分30%以上），提醒相关磋商小组成员进行复核或书面说明理由。</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1"/>
          <w:highlight w:val="none"/>
        </w:rPr>
        <w:t>磋商小组成员在评审过程中不得将自己的观点强加给其他磋商小组成员，磋商小组成员应自主发表见解，对评审意见承担个人责任。</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束后，磋商小组应向采购代理机构提交项目评审报告。评审报告是采购人确定成交人的合法依据，磋商小组应当如实、客观地反映评审情况，按磋商文件的评审办法和细则的规定推荐成交候选人，说明推荐理由，并重点对成交候选人的技术、服务和价格等情况进行评价和比较。如排名第一的供应商报价为最高报价的，评审报告中必须对其报价的合理性等进行分析和特别说明。</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成员应当独立、客观、公正地提出评审意见，不得带有倾向性，不得影响其他磋商小组成员评审，并在评审报告上签字；如对评审报告有异议的，可在报告上签署不同意见，并说明理由，否则将视为同意。</w:t>
      </w:r>
    </w:p>
    <w:p>
      <w:pPr>
        <w:pageBreakBefore w:val="0"/>
        <w:widowControl w:val="0"/>
        <w:numPr>
          <w:ilvl w:val="1"/>
          <w:numId w:val="6"/>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磋商小组成员应当遵守评审工作纪律，不得泄露评审文件、评审情况和评审中获悉的商业秘密。</w:t>
      </w:r>
    </w:p>
    <w:p/>
    <w:sectPr>
      <w:pgSz w:w="11906" w:h="16838"/>
      <w:pgMar w:top="1417" w:right="1417" w:bottom="1417" w:left="1417" w:header="1134" w:footer="1134" w:gutter="0"/>
      <w:pgBorders>
        <w:top w:val="none" w:sz="0" w:space="0"/>
        <w:left w:val="none" w:sz="0" w:space="0"/>
        <w:bottom w:val="none" w:sz="0" w:space="0"/>
        <w:right w:val="none" w:sz="0" w:space="0"/>
      </w:pgBorders>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32266"/>
    <w:multiLevelType w:val="multilevel"/>
    <w:tmpl w:val="85E32266"/>
    <w:lvl w:ilvl="0" w:tentative="0">
      <w:start w:val="1"/>
      <w:numFmt w:val="decimal"/>
      <w:lvlText w:val="%1."/>
      <w:lvlJc w:val="left"/>
      <w:pPr>
        <w:ind w:left="425" w:hanging="425"/>
      </w:pPr>
      <w:rPr>
        <w:rFonts w:hint="default"/>
      </w:rPr>
    </w:lvl>
    <w:lvl w:ilvl="1" w:tentative="0">
      <w:start w:val="1"/>
      <w:numFmt w:val="decimal"/>
      <w:lvlText w:val="%1.%2."/>
      <w:lvlJc w:val="left"/>
      <w:pPr>
        <w:ind w:left="147" w:hanging="567"/>
      </w:pPr>
      <w:rPr>
        <w:rFonts w:hint="default"/>
        <w:b/>
        <w:bCs/>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C2A79AD9"/>
    <w:multiLevelType w:val="multilevel"/>
    <w:tmpl w:val="C2A79AD9"/>
    <w:lvl w:ilvl="0" w:tentative="0">
      <w:start w:val="6"/>
      <w:numFmt w:val="decimal"/>
      <w:lvlText w:val="%1."/>
      <w:lvlJc w:val="left"/>
      <w:pPr>
        <w:ind w:left="425" w:hanging="425"/>
      </w:pPr>
      <w:rPr>
        <w:rFonts w:hint="default" w:ascii="宋体" w:hAnsi="宋体" w:eastAsia="宋体" w:cs="宋体"/>
        <w:sz w:val="24"/>
      </w:rPr>
    </w:lvl>
    <w:lvl w:ilvl="1" w:tentative="0">
      <w:start w:val="1"/>
      <w:numFmt w:val="decimal"/>
      <w:suff w:val="nothing"/>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FD5CEF16"/>
    <w:multiLevelType w:val="multilevel"/>
    <w:tmpl w:val="FD5CEF16"/>
    <w:lvl w:ilvl="0" w:tentative="0">
      <w:start w:val="4"/>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453" w:hanging="453"/>
      </w:pPr>
      <w:rPr>
        <w:rFonts w:hint="default" w:ascii="宋体" w:hAnsi="宋体" w:eastAsia="宋体" w:cs="宋体"/>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201C954B"/>
    <w:multiLevelType w:val="multilevel"/>
    <w:tmpl w:val="201C954B"/>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453" w:hanging="453"/>
      </w:pPr>
      <w:rPr>
        <w:rFonts w:hint="default" w:ascii="宋体" w:hAnsi="宋体" w:eastAsia="宋体" w:cs="宋体"/>
        <w:b w:val="0"/>
        <w:bCs w:val="0"/>
      </w:rPr>
    </w:lvl>
    <w:lvl w:ilvl="2" w:tentative="0">
      <w:start w:val="1"/>
      <w:numFmt w:val="decimal"/>
      <w:lvlText w:val="%1.%2.%3."/>
      <w:lvlJc w:val="left"/>
      <w:pPr>
        <w:ind w:left="708" w:hanging="708"/>
      </w:pPr>
      <w:rPr>
        <w:rFonts w:hint="default" w:ascii="宋体" w:hAnsi="宋体" w:eastAsia="宋体" w:cs="宋体"/>
      </w:rPr>
    </w:lvl>
    <w:lvl w:ilvl="3" w:tentative="0">
      <w:start w:val="1"/>
      <w:numFmt w:val="decimal"/>
      <w:lvlText w:val="%1.%2.%3.%4."/>
      <w:lvlJc w:val="left"/>
      <w:pPr>
        <w:ind w:left="2053" w:hanging="853"/>
      </w:pPr>
      <w:rPr>
        <w:rFonts w:hint="default" w:ascii="宋体" w:hAnsi="宋体" w:eastAsia="宋体" w:cs="宋体"/>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4">
    <w:nsid w:val="3FA2C85E"/>
    <w:multiLevelType w:val="multilevel"/>
    <w:tmpl w:val="3FA2C85E"/>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147" w:hanging="567"/>
      </w:pPr>
      <w:rPr>
        <w:rFonts w:hint="default" w:ascii="宋体" w:hAnsi="宋体" w:eastAsia="宋体" w:cs="宋体"/>
      </w:rPr>
    </w:lvl>
    <w:lvl w:ilvl="2" w:tentative="0">
      <w:start w:val="1"/>
      <w:numFmt w:val="decimal"/>
      <w:lvlText w:val="%1.%2.%3."/>
      <w:lvlJc w:val="left"/>
      <w:pPr>
        <w:ind w:left="-131"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45E252C0"/>
    <w:multiLevelType w:val="singleLevel"/>
    <w:tmpl w:val="45E252C0"/>
    <w:lvl w:ilvl="0" w:tentative="0">
      <w:start w:val="1"/>
      <w:numFmt w:val="chineseCounting"/>
      <w:suff w:val="nothing"/>
      <w:lvlText w:val="%1、"/>
      <w:lvlJc w:val="left"/>
      <w:pPr>
        <w:ind w:left="-420" w:firstLine="420"/>
      </w:pPr>
      <w:rPr>
        <w:rFonts w:hint="eastAsi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OTcxMWY1N2EwNjVjOGI2MGRhODU5Yjk3NmYxYjYifQ=="/>
  </w:docVars>
  <w:rsids>
    <w:rsidRoot w:val="10333760"/>
    <w:rsid w:val="10333760"/>
    <w:rsid w:val="2B822FEC"/>
    <w:rsid w:val="43C4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adjustRightInd w:val="0"/>
      <w:snapToGrid w:val="0"/>
      <w:spacing w:line="360" w:lineRule="auto"/>
      <w:jc w:val="center"/>
      <w:textAlignment w:val="baseline"/>
      <w:outlineLvl w:val="1"/>
    </w:pPr>
    <w:rPr>
      <w:rFonts w:ascii="仿宋_GB2312" w:hAnsi="仿宋_GB2312" w:eastAsia="仿宋_GB2312"/>
      <w:b/>
      <w:kern w:val="0"/>
      <w:sz w:val="36"/>
      <w:szCs w:val="20"/>
    </w:rPr>
  </w:style>
  <w:style w:type="paragraph" w:styleId="3">
    <w:name w:val="heading 3"/>
    <w:basedOn w:val="1"/>
    <w:next w:val="4"/>
    <w:autoRedefine/>
    <w:qFormat/>
    <w:uiPriority w:val="0"/>
    <w:pPr>
      <w:keepNext/>
      <w:keepLines/>
      <w:spacing w:line="360" w:lineRule="auto"/>
      <w:ind w:firstLine="602" w:firstLineChars="200"/>
      <w:outlineLvl w:val="2"/>
    </w:pPr>
    <w:rPr>
      <w:rFonts w:ascii="仿宋_GB2312" w:hAnsi="仿宋_GB2312" w:eastAsia="仿宋_GB2312"/>
      <w:b/>
      <w:bCs/>
      <w:sz w:val="30"/>
      <w:szCs w:val="20"/>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ind w:firstLine="420"/>
    </w:pPr>
    <w:rPr>
      <w:szCs w:val="20"/>
    </w:rPr>
  </w:style>
  <w:style w:type="paragraph" w:styleId="5">
    <w:name w:val="table of authorities"/>
    <w:basedOn w:val="1"/>
    <w:next w:val="1"/>
    <w:autoRedefine/>
    <w:qFormat/>
    <w:uiPriority w:val="0"/>
    <w:pPr>
      <w:ind w:left="420" w:leftChars="200"/>
    </w:pPr>
  </w:style>
  <w:style w:type="paragraph" w:styleId="6">
    <w:name w:val="caption"/>
    <w:basedOn w:val="1"/>
    <w:next w:val="1"/>
    <w:autoRedefine/>
    <w:unhideWhenUsed/>
    <w:qFormat/>
    <w:uiPriority w:val="0"/>
    <w:pPr>
      <w:ind w:firstLine="0" w:firstLineChars="0"/>
      <w:jc w:val="center"/>
    </w:pPr>
    <w:rPr>
      <w:rFonts w:ascii="Times New Roman" w:hAnsi="Times New Roman" w:eastAsia="黑体"/>
      <w:sz w:val="20"/>
    </w:rPr>
  </w:style>
  <w:style w:type="paragraph" w:styleId="7">
    <w:name w:val="Body Text Indent 2"/>
    <w:basedOn w:val="1"/>
    <w:autoRedefine/>
    <w:qFormat/>
    <w:uiPriority w:val="0"/>
    <w:pPr>
      <w:snapToGrid w:val="0"/>
      <w:spacing w:line="400" w:lineRule="exact"/>
      <w:ind w:firstLine="480"/>
    </w:pPr>
    <w:rPr>
      <w:rFonts w:eastAsia="仿宋_GB2312"/>
      <w:sz w:val="24"/>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next w:val="6"/>
    <w:autoRedefine/>
    <w:qFormat/>
    <w:uiPriority w:val="99"/>
    <w:pPr>
      <w:pBdr>
        <w:bottom w:val="single" w:color="auto" w:sz="6" w:space="1"/>
      </w:pBdr>
      <w:tabs>
        <w:tab w:val="center" w:pos="4153"/>
        <w:tab w:val="right" w:pos="8306"/>
      </w:tabs>
      <w:adjustRightInd w:val="0"/>
      <w:spacing w:line="240" w:lineRule="atLeast"/>
      <w:jc w:val="center"/>
    </w:pPr>
    <w:rPr>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2024-04-03T03:02:00Z</dcterms:created>
  <dc:creator>墨子 妈咪</dc:creator>
  <cp:lastModifiedBy>墨子 妈咪</cp:lastModifiedBy>
  <dcterms:modified xsi:type="dcterms:W3CDTF">2024-04-03T03:12:52Z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AEEB1D4FFA7A47C893A6B08491F78652_11</vt:lpwstr>
  </property>
</Properties>
</file>