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仿宋_GB2312" w:hAnsi="仿宋_GB2312" w:eastAsia="仿宋_GB2312" w:cs="仿宋_GB2312"/>
          <w:b w:val="0"/>
          <w:bCs/>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仿宋_GB2312" w:hAnsi="仿宋_GB2312" w:eastAsia="仿宋_GB2312" w:cs="仿宋_GB2312"/>
          <w:b/>
          <w:bCs w:val="0"/>
          <w:color w:val="auto"/>
          <w:sz w:val="48"/>
          <w:szCs w:val="48"/>
          <w:lang w:val="en-US" w:eastAsia="zh-CN"/>
        </w:rPr>
      </w:pPr>
      <w:bookmarkStart w:id="0" w:name="_GoBack"/>
      <w:r>
        <w:rPr>
          <w:rFonts w:hint="eastAsia" w:ascii="仿宋_GB2312" w:hAnsi="仿宋_GB2312" w:eastAsia="仿宋_GB2312" w:cs="仿宋_GB2312"/>
          <w:b/>
          <w:bCs w:val="0"/>
          <w:color w:val="auto"/>
          <w:sz w:val="48"/>
          <w:szCs w:val="48"/>
          <w:lang w:val="en-US" w:eastAsia="zh-CN"/>
        </w:rPr>
        <w:t>丽水市“政采云”平台网上超市违规情形及违规处理标准</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8910"/>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序号</w:t>
            </w:r>
          </w:p>
        </w:tc>
        <w:tc>
          <w:tcPr>
            <w:tcW w:w="8910"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违规情形</w:t>
            </w:r>
          </w:p>
        </w:tc>
        <w:tc>
          <w:tcPr>
            <w:tcW w:w="4005"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违规处理标准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w:t>
            </w:r>
          </w:p>
        </w:tc>
        <w:tc>
          <w:tcPr>
            <w:tcW w:w="8910"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sz w:val="24"/>
                <w:szCs w:val="24"/>
              </w:rPr>
              <w:t>网上超市商品销售价格高于同期大型电商自营商品平均销售价格</w:t>
            </w:r>
            <w:r>
              <w:rPr>
                <w:rFonts w:hint="eastAsia" w:ascii="宋体" w:hAnsi="宋体" w:eastAsia="宋体" w:cs="宋体"/>
                <w:sz w:val="24"/>
                <w:szCs w:val="24"/>
                <w:lang w:eastAsia="zh-CN"/>
              </w:rPr>
              <w:t>的。</w:t>
            </w:r>
          </w:p>
        </w:tc>
        <w:tc>
          <w:tcPr>
            <w:tcW w:w="4005"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sz w:val="24"/>
                <w:szCs w:val="24"/>
                <w:lang w:val="en-US" w:eastAsia="zh-CN"/>
              </w:rPr>
              <w:t>商品冻结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w:t>
            </w:r>
          </w:p>
        </w:tc>
        <w:tc>
          <w:tcPr>
            <w:tcW w:w="8910" w:type="dxa"/>
            <w:noWrap w:val="0"/>
            <w:vAlign w:val="top"/>
          </w:tcPr>
          <w:p>
            <w:pPr>
              <w:pStyle w:val="5"/>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rPr>
              <w:t>网上超市商品销售价格高于同期大型电商自管商品平均销售价格高于10% (含)，低于20%</w:t>
            </w:r>
            <w:r>
              <w:rPr>
                <w:rFonts w:hint="eastAsia" w:ascii="宋体" w:hAnsi="宋体" w:eastAsia="宋体" w:cs="宋体"/>
                <w:sz w:val="24"/>
                <w:szCs w:val="24"/>
                <w:lang w:eastAsia="zh-CN"/>
              </w:rPr>
              <w:t>；</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《浙江省政府采购电子</w:t>
            </w:r>
            <w:r>
              <w:rPr>
                <w:rFonts w:hint="eastAsia" w:ascii="宋体" w:hAnsi="宋体" w:eastAsia="宋体" w:cs="宋体"/>
                <w:sz w:val="24"/>
                <w:szCs w:val="24"/>
                <w:lang w:eastAsia="zh-CN"/>
              </w:rPr>
              <w:t>卖</w:t>
            </w:r>
            <w:r>
              <w:rPr>
                <w:rFonts w:hint="eastAsia" w:ascii="宋体" w:hAnsi="宋体" w:eastAsia="宋体" w:cs="宋体"/>
                <w:sz w:val="24"/>
                <w:szCs w:val="24"/>
              </w:rPr>
              <w:t>场采购管理暂行办法》第三十二条</w:t>
            </w:r>
            <w:r>
              <w:rPr>
                <w:rFonts w:hint="eastAsia" w:ascii="宋体" w:hAnsi="宋体" w:eastAsia="宋体" w:cs="宋体"/>
                <w:sz w:val="24"/>
                <w:szCs w:val="24"/>
                <w:lang w:eastAsia="zh-CN"/>
              </w:rPr>
              <w:t>第（一）款规定的其他情形。</w:t>
            </w:r>
          </w:p>
        </w:tc>
        <w:tc>
          <w:tcPr>
            <w:tcW w:w="4005"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sz w:val="24"/>
                <w:szCs w:val="24"/>
              </w:rPr>
              <w:t>每次扣减5分诚信分，累计该项违规情形发生4次(含)以上的，每次扣减6-8分诚信分， 黄色预警一次。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w:t>
            </w:r>
          </w:p>
        </w:tc>
        <w:tc>
          <w:tcPr>
            <w:tcW w:w="8910" w:type="dxa"/>
            <w:noWrap w:val="0"/>
            <w:vAlign w:val="top"/>
          </w:tcPr>
          <w:p>
            <w:pPr>
              <w:pStyle w:val="5"/>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网上超市商品销售价格高于同期大型电商自营商品平均销价格高20% (含)，低于30%:</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同期因价格问题被黄色预警3次以上:</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《浙江省政府采购电子</w:t>
            </w:r>
            <w:r>
              <w:rPr>
                <w:rFonts w:hint="eastAsia" w:ascii="宋体" w:hAnsi="宋体" w:eastAsia="宋体" w:cs="宋体"/>
                <w:sz w:val="24"/>
                <w:szCs w:val="24"/>
                <w:lang w:eastAsia="zh-CN"/>
              </w:rPr>
              <w:t>卖</w:t>
            </w:r>
            <w:r>
              <w:rPr>
                <w:rFonts w:hint="eastAsia" w:ascii="宋体" w:hAnsi="宋体" w:eastAsia="宋体" w:cs="宋体"/>
                <w:sz w:val="24"/>
                <w:szCs w:val="24"/>
              </w:rPr>
              <w:t>场采购管理暂行办法》第三十二条</w:t>
            </w:r>
            <w:r>
              <w:rPr>
                <w:rFonts w:hint="eastAsia" w:ascii="宋体" w:hAnsi="宋体" w:eastAsia="宋体" w:cs="宋体"/>
                <w:sz w:val="24"/>
                <w:szCs w:val="24"/>
                <w:lang w:eastAsia="zh-CN"/>
              </w:rPr>
              <w:t>第（二）款规定的其他情形。</w:t>
            </w:r>
          </w:p>
        </w:tc>
        <w:tc>
          <w:tcPr>
            <w:tcW w:w="4005" w:type="dxa"/>
            <w:noWrap w:val="0"/>
            <w:vAlign w:val="top"/>
          </w:tcPr>
          <w:p>
            <w:pPr>
              <w:pStyle w:val="5"/>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rPr>
              <w:t>每次扣减诚信分值扣10分，累计该项违规情形发生4次(含)以上的，每次扣减12</w:t>
            </w:r>
            <w:r>
              <w:rPr>
                <w:rFonts w:hint="eastAsia" w:ascii="宋体" w:hAnsi="宋体" w:eastAsia="宋体" w:cs="宋体"/>
                <w:sz w:val="24"/>
                <w:szCs w:val="24"/>
                <w:lang w:val="en-US" w:eastAsia="zh-CN"/>
              </w:rPr>
              <w:t>-</w:t>
            </w:r>
            <w:r>
              <w:rPr>
                <w:rFonts w:hint="eastAsia" w:ascii="宋体" w:hAnsi="宋体" w:eastAsia="宋体" w:cs="宋体"/>
                <w:sz w:val="24"/>
                <w:szCs w:val="24"/>
              </w:rPr>
              <w:t>16分诚信分，橙色预警次</w:t>
            </w:r>
            <w:r>
              <w:rPr>
                <w:rFonts w:hint="eastAsia" w:ascii="宋体" w:hAnsi="宋体" w:eastAsia="宋体" w:cs="宋体"/>
                <w:sz w:val="24"/>
                <w:szCs w:val="24"/>
                <w:lang w:eastAsia="zh-CN"/>
              </w:rPr>
              <w:t>；</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暂停一个月网超资格。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4</w:t>
            </w:r>
          </w:p>
        </w:tc>
        <w:tc>
          <w:tcPr>
            <w:tcW w:w="8910" w:type="dxa"/>
            <w:noWrap w:val="0"/>
            <w:vAlign w:val="top"/>
          </w:tcPr>
          <w:p>
            <w:pPr>
              <w:pStyle w:val="5"/>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网上超市商品销售价格高于同期大型电商自营商品平均销</w:t>
            </w:r>
            <w:r>
              <w:rPr>
                <w:rFonts w:hint="eastAsia" w:ascii="宋体" w:hAnsi="宋体" w:eastAsia="宋体" w:cs="宋体"/>
                <w:sz w:val="24"/>
                <w:szCs w:val="24"/>
                <w:lang w:eastAsia="zh-CN"/>
              </w:rPr>
              <w:t>价格高于</w:t>
            </w:r>
            <w:r>
              <w:rPr>
                <w:rFonts w:hint="eastAsia" w:ascii="宋体" w:hAnsi="宋体" w:eastAsia="宋体" w:cs="宋体"/>
                <w:sz w:val="24"/>
                <w:szCs w:val="24"/>
                <w:lang w:val="en-US" w:eastAsia="zh-CN"/>
              </w:rPr>
              <w:t>30%（含）；</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同期因价格问题被橙色预警2次以上;</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《浙江省政府采购电子卖场采购管理暂行办法》第三十二条</w:t>
            </w:r>
            <w:r>
              <w:rPr>
                <w:rFonts w:hint="eastAsia" w:ascii="宋体" w:hAnsi="宋体" w:eastAsia="宋体" w:cs="宋体"/>
                <w:sz w:val="24"/>
                <w:szCs w:val="24"/>
                <w:lang w:eastAsia="zh-CN"/>
              </w:rPr>
              <w:t>第（三）款规定的其他情形。</w:t>
            </w:r>
          </w:p>
        </w:tc>
        <w:tc>
          <w:tcPr>
            <w:tcW w:w="4005" w:type="dxa"/>
            <w:noWrap w:val="0"/>
            <w:vAlign w:val="top"/>
          </w:tcPr>
          <w:p>
            <w:pPr>
              <w:pStyle w:val="5"/>
              <w:keepNext w:val="0"/>
              <w:keepLines w:val="0"/>
              <w:pageBreakBefore w:val="0"/>
              <w:widowControl w:val="0"/>
              <w:numPr>
                <w:ilvl w:val="0"/>
                <w:numId w:val="5"/>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rPr>
              <w:t>每次扣减诚信分值扣20分，累计该项违规情形发生4次(含)以上的，每次扣减22</w:t>
            </w:r>
            <w:r>
              <w:rPr>
                <w:rFonts w:hint="eastAsia" w:ascii="宋体" w:hAnsi="宋体" w:eastAsia="宋体" w:cs="宋体"/>
                <w:sz w:val="24"/>
                <w:szCs w:val="24"/>
                <w:lang w:val="en-US" w:eastAsia="zh-CN"/>
              </w:rPr>
              <w:t>-</w:t>
            </w:r>
            <w:r>
              <w:rPr>
                <w:rFonts w:hint="eastAsia" w:ascii="宋体" w:hAnsi="宋体" w:eastAsia="宋体" w:cs="宋体"/>
                <w:sz w:val="24"/>
                <w:szCs w:val="24"/>
              </w:rPr>
              <w:t>26分诚信分，红色</w:t>
            </w:r>
            <w:r>
              <w:rPr>
                <w:rFonts w:hint="eastAsia" w:ascii="宋体" w:hAnsi="宋体" w:eastAsia="宋体" w:cs="宋体"/>
                <w:sz w:val="24"/>
                <w:szCs w:val="24"/>
                <w:lang w:eastAsia="zh-CN"/>
              </w:rPr>
              <w:t>预警一次；</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暂停三个月网超资格。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5</w:t>
            </w:r>
          </w:p>
        </w:tc>
        <w:tc>
          <w:tcPr>
            <w:tcW w:w="8910"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sz w:val="24"/>
                <w:szCs w:val="24"/>
              </w:rPr>
              <w:t>年度内诚信分累计扣分90分(含)以上的。</w:t>
            </w:r>
          </w:p>
        </w:tc>
        <w:tc>
          <w:tcPr>
            <w:tcW w:w="4005"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sz w:val="24"/>
                <w:szCs w:val="24"/>
              </w:rPr>
              <w:t>取消网超资格，并限制6个月内不得重新申请准入。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6</w:t>
            </w:r>
          </w:p>
        </w:tc>
        <w:tc>
          <w:tcPr>
            <w:tcW w:w="12915" w:type="dxa"/>
            <w:gridSpan w:val="2"/>
            <w:noWrap w:val="0"/>
            <w:vAlign w:val="top"/>
          </w:tcPr>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1.同期网上超市商品违法违规问题次数，按查实的商品个数计算。累计周期按自然年计算;</w:t>
            </w:r>
          </w:p>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 同期一家供应商存在多条违规处理情形的，暂停期限按最高违规处理但不累加期限，但诚信分扣分累加计算;</w:t>
            </w:r>
          </w:p>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 商品冻结情形可进行简易处理，直接通过“政采云”平台进行冻结处理;</w:t>
            </w:r>
          </w:p>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4. 违规供应商未及时整改或整改审核不通过的，按《浙江省政府采购电子卖场采购管理暂行办法》、浙江省网上超市供应商承诺书进行处理。</w:t>
            </w:r>
          </w:p>
          <w:p>
            <w:pPr>
              <w:pStyle w:val="5"/>
              <w:keepNext w:val="0"/>
              <w:keepLines w:val="0"/>
              <w:pageBreakBefore w:val="0"/>
              <w:widowControl w:val="0"/>
              <w:kinsoku/>
              <w:wordWrap/>
              <w:overflowPunct/>
              <w:topLinePunct w:val="0"/>
              <w:autoSpaceDE/>
              <w:autoSpaceDN/>
              <w:bidi w:val="0"/>
              <w:adjustRightInd/>
              <w:snapToGrid/>
              <w:spacing w:line="560" w:lineRule="exact"/>
              <w:ind w:right="198"/>
              <w:jc w:val="left"/>
              <w:textAlignment w:val="auto"/>
              <w:outlineLvl w:val="0"/>
              <w:rPr>
                <w:rFonts w:hint="eastAsia" w:ascii="宋体" w:hAnsi="宋体" w:eastAsia="宋体" w:cs="宋体"/>
                <w:b w:val="0"/>
                <w:bCs/>
                <w:color w:val="auto"/>
                <w:sz w:val="24"/>
                <w:szCs w:val="24"/>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A5DE11"/>
    <w:multiLevelType w:val="singleLevel"/>
    <w:tmpl w:val="AAA5DE11"/>
    <w:lvl w:ilvl="0" w:tentative="0">
      <w:start w:val="1"/>
      <w:numFmt w:val="decimal"/>
      <w:lvlText w:val="(%1)"/>
      <w:lvlJc w:val="left"/>
      <w:pPr>
        <w:tabs>
          <w:tab w:val="left" w:pos="312"/>
        </w:tabs>
      </w:pPr>
    </w:lvl>
  </w:abstractNum>
  <w:abstractNum w:abstractNumId="1">
    <w:nsid w:val="ADCAD482"/>
    <w:multiLevelType w:val="singleLevel"/>
    <w:tmpl w:val="ADCAD482"/>
    <w:lvl w:ilvl="0" w:tentative="0">
      <w:start w:val="1"/>
      <w:numFmt w:val="decimal"/>
      <w:lvlText w:val="(%1)"/>
      <w:lvlJc w:val="left"/>
      <w:pPr>
        <w:tabs>
          <w:tab w:val="left" w:pos="312"/>
        </w:tabs>
      </w:pPr>
    </w:lvl>
  </w:abstractNum>
  <w:abstractNum w:abstractNumId="2">
    <w:nsid w:val="E3D39486"/>
    <w:multiLevelType w:val="singleLevel"/>
    <w:tmpl w:val="E3D39486"/>
    <w:lvl w:ilvl="0" w:tentative="0">
      <w:start w:val="1"/>
      <w:numFmt w:val="decimal"/>
      <w:lvlText w:val="(%1)"/>
      <w:lvlJc w:val="left"/>
      <w:pPr>
        <w:tabs>
          <w:tab w:val="left" w:pos="312"/>
        </w:tabs>
      </w:pPr>
    </w:lvl>
  </w:abstractNum>
  <w:abstractNum w:abstractNumId="3">
    <w:nsid w:val="0DB06D18"/>
    <w:multiLevelType w:val="singleLevel"/>
    <w:tmpl w:val="0DB06D18"/>
    <w:lvl w:ilvl="0" w:tentative="0">
      <w:start w:val="1"/>
      <w:numFmt w:val="decimal"/>
      <w:lvlText w:val="(%1)"/>
      <w:lvlJc w:val="left"/>
      <w:pPr>
        <w:tabs>
          <w:tab w:val="left" w:pos="312"/>
        </w:tabs>
      </w:pPr>
    </w:lvl>
  </w:abstractNum>
  <w:abstractNum w:abstractNumId="4">
    <w:nsid w:val="30CE6D7C"/>
    <w:multiLevelType w:val="singleLevel"/>
    <w:tmpl w:val="30CE6D7C"/>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C1808"/>
    <w:rsid w:val="63AC1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纯文本_4_0"/>
    <w:basedOn w:val="1"/>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2022-09-21T06:39:00Z</dcterms:created>
  <dc:creator>Administrator</dc:creator>
  <cp:lastModifiedBy>Administrator</cp:lastModifiedBy>
  <dcterms:modified xsi:type="dcterms:W3CDTF">2022-09-21T06:40:17Z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