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line="360" w:lineRule="auto"/>
        <w:jc w:val="center"/>
        <w:textAlignment w:val="baseline"/>
        <w:rPr>
          <w:rFonts w:ascii="仿宋" w:hAnsi="仿宋" w:eastAsia="仿宋" w:cs="仿宋"/>
          <w:b/>
          <w:bCs/>
          <w:color w:val="auto"/>
          <w:spacing w:val="-6"/>
          <w:sz w:val="32"/>
          <w:szCs w:val="32"/>
        </w:rPr>
      </w:pPr>
      <w:r>
        <w:rPr>
          <w:rFonts w:hint="eastAsia" w:ascii="仿宋" w:hAnsi="仿宋" w:eastAsia="仿宋" w:cs="仿宋"/>
          <w:b/>
          <w:bCs/>
          <w:color w:val="auto"/>
          <w:spacing w:val="-6"/>
          <w:sz w:val="36"/>
          <w:szCs w:val="36"/>
        </w:rPr>
        <w:t>景宁畲族自治县环卫清洁服务有限公司生活垃圾焚烧发电厂飞灰处置服务项目</w:t>
      </w:r>
      <w:r>
        <w:rPr>
          <w:rFonts w:hint="eastAsia" w:ascii="仿宋" w:hAnsi="仿宋" w:eastAsia="仿宋" w:cs="仿宋"/>
          <w:b/>
          <w:bCs/>
          <w:color w:val="auto"/>
          <w:spacing w:val="-6"/>
          <w:sz w:val="36"/>
          <w:szCs w:val="36"/>
          <w:lang w:eastAsia="zh-CN"/>
        </w:rPr>
        <w:t>（第二次）</w:t>
      </w:r>
      <w:r>
        <w:rPr>
          <w:rFonts w:hint="eastAsia" w:ascii="仿宋" w:hAnsi="仿宋" w:eastAsia="仿宋" w:cs="仿宋"/>
          <w:b/>
          <w:bCs/>
          <w:color w:val="auto"/>
          <w:spacing w:val="-6"/>
          <w:sz w:val="36"/>
          <w:szCs w:val="36"/>
        </w:rPr>
        <w:t>（非政府采购项目）</w:t>
      </w:r>
    </w:p>
    <w:p>
      <w:pPr>
        <w:pStyle w:val="5"/>
        <w:snapToGrid w:val="0"/>
        <w:jc w:val="center"/>
        <w:textAlignment w:val="baseline"/>
        <w:rPr>
          <w:rFonts w:ascii="仿宋" w:hAnsi="仿宋" w:eastAsia="仿宋" w:cs="仿宋"/>
          <w:b/>
          <w:bCs/>
          <w:sz w:val="32"/>
          <w:szCs w:val="32"/>
        </w:rPr>
      </w:pPr>
    </w:p>
    <w:p>
      <w:pPr>
        <w:snapToGrid w:val="0"/>
        <w:jc w:val="center"/>
        <w:textAlignment w:val="baseline"/>
        <w:rPr>
          <w:rFonts w:ascii="仿宋" w:hAnsi="仿宋" w:eastAsia="仿宋" w:cs="仿宋"/>
          <w:b/>
          <w:bCs/>
          <w:sz w:val="84"/>
          <w:szCs w:val="84"/>
        </w:rPr>
      </w:pPr>
      <w:r>
        <w:rPr>
          <w:rFonts w:hint="eastAsia" w:ascii="仿宋" w:hAnsi="仿宋" w:eastAsia="仿宋" w:cs="仿宋"/>
          <w:b/>
          <w:bCs/>
          <w:sz w:val="84"/>
          <w:szCs w:val="84"/>
        </w:rPr>
        <w:t>招标文件</w:t>
      </w:r>
    </w:p>
    <w:p>
      <w:pPr>
        <w:snapToGrid w:val="0"/>
        <w:spacing w:before="156"/>
        <w:jc w:val="center"/>
        <w:textAlignment w:val="baseline"/>
        <w:rPr>
          <w:rFonts w:ascii="仿宋" w:hAnsi="仿宋" w:eastAsia="仿宋" w:cs="仿宋"/>
          <w:b/>
          <w:bCs/>
          <w:sz w:val="32"/>
          <w:szCs w:val="32"/>
        </w:rPr>
      </w:pPr>
    </w:p>
    <w:p>
      <w:pPr>
        <w:pStyle w:val="5"/>
        <w:snapToGrid w:val="0"/>
        <w:textAlignment w:val="baseline"/>
        <w:rPr>
          <w:rFonts w:ascii="仿宋" w:hAnsi="仿宋" w:eastAsia="仿宋" w:cs="仿宋"/>
        </w:rPr>
      </w:pPr>
    </w:p>
    <w:p>
      <w:pPr>
        <w:snapToGrid w:val="0"/>
        <w:spacing w:before="156"/>
        <w:jc w:val="center"/>
        <w:textAlignment w:val="baseline"/>
        <w:rPr>
          <w:rFonts w:ascii="仿宋" w:hAnsi="仿宋" w:eastAsia="仿宋" w:cs="仿宋"/>
          <w:b/>
          <w:bCs/>
          <w:sz w:val="30"/>
          <w:szCs w:val="30"/>
        </w:rPr>
      </w:pPr>
      <w:r>
        <w:rPr>
          <w:rFonts w:hint="eastAsia" w:ascii="仿宋" w:hAnsi="仿宋" w:eastAsia="仿宋" w:cs="仿宋"/>
          <w:b/>
          <w:bCs/>
          <w:sz w:val="30"/>
          <w:szCs w:val="30"/>
        </w:rPr>
        <w:t>采购编号：兴华招采（</w:t>
      </w:r>
      <w:r>
        <w:rPr>
          <w:rFonts w:hint="eastAsia" w:ascii="仿宋" w:hAnsi="仿宋" w:eastAsia="仿宋" w:cs="仿宋"/>
          <w:b/>
          <w:bCs/>
          <w:sz w:val="30"/>
          <w:szCs w:val="30"/>
          <w:lang w:eastAsia="zh-CN"/>
        </w:rPr>
        <w:t>2024</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 xml:space="preserve"> 9 </w:t>
      </w:r>
      <w:r>
        <w:rPr>
          <w:rFonts w:hint="eastAsia" w:ascii="仿宋" w:hAnsi="仿宋" w:eastAsia="仿宋" w:cs="仿宋"/>
          <w:b/>
          <w:bCs/>
          <w:sz w:val="30"/>
          <w:szCs w:val="30"/>
        </w:rPr>
        <w:t>号</w:t>
      </w:r>
    </w:p>
    <w:p>
      <w:pPr>
        <w:pStyle w:val="5"/>
        <w:snapToGrid w:val="0"/>
        <w:jc w:val="center"/>
        <w:textAlignment w:val="baseline"/>
        <w:rPr>
          <w:rFonts w:hint="eastAsia" w:ascii="仿宋" w:hAnsi="仿宋" w:eastAsia="仿宋" w:cs="仿宋"/>
          <w:lang w:val="en-US" w:eastAsia="zh-CN"/>
        </w:rPr>
      </w:pPr>
    </w:p>
    <w:p>
      <w:pPr>
        <w:snapToGrid w:val="0"/>
        <w:spacing w:before="156"/>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p>
    <w:p>
      <w:pPr>
        <w:snapToGrid w:val="0"/>
        <w:spacing w:line="360" w:lineRule="auto"/>
        <w:jc w:val="center"/>
        <w:textAlignment w:val="baseline"/>
        <w:rPr>
          <w:rFonts w:ascii="仿宋" w:hAnsi="仿宋" w:eastAsia="仿宋" w:cs="仿宋"/>
          <w:b/>
          <w:bCs/>
          <w:sz w:val="32"/>
          <w:szCs w:val="32"/>
        </w:rPr>
      </w:pPr>
      <w:r>
        <w:rPr>
          <w:rFonts w:hint="eastAsia" w:ascii="仿宋" w:hAnsi="仿宋" w:eastAsia="仿宋" w:cs="仿宋"/>
          <w:b/>
          <w:bCs/>
          <w:sz w:val="32"/>
          <w:szCs w:val="32"/>
        </w:rPr>
        <w:t>采购单位：景宁畲族自治县环卫清洁服务有限公司</w:t>
      </w:r>
    </w:p>
    <w:p>
      <w:pPr>
        <w:snapToGrid w:val="0"/>
        <w:spacing w:line="360" w:lineRule="auto"/>
        <w:jc w:val="center"/>
        <w:textAlignment w:val="baseline"/>
        <w:rPr>
          <w:rFonts w:ascii="仿宋" w:hAnsi="仿宋" w:eastAsia="仿宋" w:cs="仿宋"/>
          <w:b/>
          <w:bCs/>
          <w:sz w:val="32"/>
          <w:szCs w:val="32"/>
        </w:rPr>
      </w:pPr>
      <w:r>
        <w:rPr>
          <w:rFonts w:hint="eastAsia" w:ascii="仿宋" w:hAnsi="仿宋" w:eastAsia="仿宋" w:cs="仿宋"/>
          <w:b/>
          <w:bCs/>
          <w:sz w:val="32"/>
          <w:szCs w:val="32"/>
        </w:rPr>
        <w:t>代理机构：浙江丽水兴华工程管理有限公司</w:t>
      </w:r>
    </w:p>
    <w:p>
      <w:pPr>
        <w:snapToGrid w:val="0"/>
        <w:spacing w:line="360" w:lineRule="auto"/>
        <w:ind w:firstLine="2891" w:firstLineChars="900"/>
        <w:textAlignment w:val="baseline"/>
        <w:rPr>
          <w:rFonts w:ascii="仿宋" w:hAnsi="仿宋" w:eastAsia="仿宋" w:cs="仿宋"/>
          <w:b/>
          <w:bCs/>
          <w:sz w:val="32"/>
          <w:szCs w:val="32"/>
        </w:rPr>
      </w:pPr>
      <w:r>
        <w:rPr>
          <w:rFonts w:hint="eastAsia" w:ascii="仿宋" w:hAnsi="仿宋" w:eastAsia="仿宋" w:cs="仿宋"/>
          <w:b/>
          <w:bCs/>
          <w:sz w:val="32"/>
          <w:szCs w:val="32"/>
        </w:rPr>
        <w:t>二〇二</w:t>
      </w:r>
      <w:r>
        <w:rPr>
          <w:rFonts w:hint="eastAsia" w:ascii="仿宋" w:hAnsi="仿宋" w:eastAsia="仿宋" w:cs="仿宋"/>
          <w:b/>
          <w:bCs/>
          <w:sz w:val="32"/>
          <w:szCs w:val="32"/>
          <w:lang w:eastAsia="zh-CN"/>
        </w:rPr>
        <w:t>四</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月</w:t>
      </w:r>
    </w:p>
    <w:p>
      <w:pPr>
        <w:pStyle w:val="5"/>
        <w:snapToGrid w:val="0"/>
        <w:ind w:firstLine="0"/>
        <w:jc w:val="center"/>
        <w:textAlignment w:val="baseline"/>
        <w:rPr>
          <w:rFonts w:ascii="仿宋" w:hAnsi="仿宋" w:eastAsia="仿宋" w:cs="仿宋"/>
          <w:b/>
          <w:bCs/>
          <w:sz w:val="32"/>
          <w:szCs w:val="32"/>
        </w:rPr>
        <w:sectPr>
          <w:headerReference r:id="rId4" w:type="first"/>
          <w:headerReference r:id="rId3" w:type="default"/>
          <w:footerReference r:id="rId5" w:type="default"/>
          <w:pgSz w:w="11906" w:h="16838"/>
          <w:pgMar w:top="1440" w:right="1758" w:bottom="1440" w:left="1758" w:header="851" w:footer="851" w:gutter="0"/>
          <w:cols w:space="720" w:num="1"/>
          <w:titlePg/>
          <w:docGrid w:linePitch="312" w:charSpace="0"/>
        </w:sectPr>
      </w:pPr>
    </w:p>
    <w:p>
      <w:pPr>
        <w:pStyle w:val="10"/>
        <w:tabs>
          <w:tab w:val="right" w:leader="dot" w:pos="8390"/>
          <w:tab w:val="clear" w:pos="9060"/>
        </w:tabs>
        <w:jc w:val="center"/>
        <w:rPr>
          <w:rFonts w:hint="eastAsia" w:ascii="仿宋" w:hAnsi="仿宋" w:eastAsia="仿宋" w:cs="仿宋"/>
          <w:b/>
          <w:bCs/>
          <w:sz w:val="32"/>
          <w:szCs w:val="32"/>
        </w:rPr>
      </w:pPr>
      <w:bookmarkStart w:id="0" w:name="_Toc11933231"/>
      <w:bookmarkStart w:id="1" w:name="_Toc20961"/>
      <w:bookmarkStart w:id="2" w:name="_Toc522269087"/>
      <w:bookmarkStart w:id="3" w:name="_Toc43283571"/>
      <w:bookmarkStart w:id="4" w:name="_Toc530571097"/>
      <w:bookmarkStart w:id="5" w:name="_Toc11963730"/>
      <w:bookmarkStart w:id="6" w:name="_Toc7532110"/>
      <w:bookmarkStart w:id="7" w:name="_Toc11616296"/>
      <w:bookmarkStart w:id="8" w:name="_Toc21203"/>
      <w:bookmarkStart w:id="9" w:name="_Toc77945409"/>
      <w:bookmarkStart w:id="10" w:name="_Toc9326"/>
      <w:bookmarkStart w:id="11" w:name="_Toc17651"/>
      <w:bookmarkStart w:id="12" w:name="_Toc16876"/>
      <w:bookmarkStart w:id="13" w:name="_Toc12433"/>
      <w:bookmarkStart w:id="14" w:name="_Toc26838"/>
      <w:bookmarkStart w:id="15" w:name="_Toc522208274"/>
      <w:bookmarkStart w:id="16" w:name="_Toc5876"/>
      <w:bookmarkStart w:id="17" w:name="_Toc43283938"/>
      <w:bookmarkStart w:id="18" w:name="_Toc530574929"/>
      <w:bookmarkStart w:id="19" w:name="_Toc530574783"/>
      <w:bookmarkStart w:id="20" w:name="_Toc6726"/>
      <w:bookmarkStart w:id="21" w:name="_Toc3268"/>
      <w:r>
        <w:rPr>
          <w:rFonts w:hint="eastAsia" w:ascii="仿宋" w:hAnsi="仿宋" w:eastAsia="仿宋" w:cs="仿宋"/>
          <w:b/>
          <w:bCs/>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rPr>
          <w:rFonts w:hint="eastAsia"/>
        </w:rPr>
      </w:pPr>
    </w:p>
    <w:p>
      <w:pPr>
        <w:pStyle w:val="10"/>
        <w:tabs>
          <w:tab w:val="right" w:leader="dot" w:pos="8390"/>
          <w:tab w:val="clear" w:pos="9060"/>
        </w:tabs>
        <w:rPr>
          <w:rFonts w:hint="eastAsia" w:ascii="仿宋" w:hAnsi="仿宋" w:eastAsia="仿宋" w:cs="仿宋"/>
          <w:bCs w:val="0"/>
          <w:szCs w:val="24"/>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TOC \o "1-3" \f \h \z \u </w:instrText>
      </w:r>
      <w:r>
        <w:rPr>
          <w:rFonts w:hint="eastAsia" w:ascii="仿宋" w:hAnsi="仿宋" w:eastAsia="仿宋" w:cs="仿宋"/>
          <w:bCs w:val="0"/>
          <w:szCs w:val="24"/>
        </w:rPr>
        <w:fldChar w:fldCharType="separate"/>
      </w: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_Toc20360 </w:instrText>
      </w:r>
      <w:r>
        <w:rPr>
          <w:rFonts w:hint="eastAsia" w:ascii="仿宋" w:hAnsi="仿宋" w:eastAsia="仿宋" w:cs="仿宋"/>
          <w:bCs w:val="0"/>
          <w:szCs w:val="24"/>
        </w:rPr>
        <w:fldChar w:fldCharType="separate"/>
      </w:r>
      <w:r>
        <w:rPr>
          <w:rFonts w:hint="eastAsia" w:ascii="仿宋" w:hAnsi="仿宋" w:eastAsia="仿宋" w:cs="仿宋"/>
        </w:rPr>
        <w:t>第一章  公开招标投标邀请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_Toc20360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_Toc27153 </w:instrText>
      </w:r>
      <w:r>
        <w:rPr>
          <w:rFonts w:hint="eastAsia" w:ascii="仿宋" w:hAnsi="仿宋" w:eastAsia="仿宋" w:cs="仿宋"/>
          <w:bCs w:val="0"/>
          <w:szCs w:val="24"/>
        </w:rPr>
        <w:fldChar w:fldCharType="separate"/>
      </w:r>
      <w:r>
        <w:rPr>
          <w:rFonts w:hint="eastAsia" w:ascii="仿宋" w:hAnsi="仿宋" w:eastAsia="仿宋" w:cs="仿宋"/>
        </w:rPr>
        <w:t>第二章 招标需求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_Toc27153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_Toc2048 </w:instrText>
      </w:r>
      <w:r>
        <w:rPr>
          <w:rFonts w:hint="eastAsia" w:ascii="仿宋" w:hAnsi="仿宋" w:eastAsia="仿宋" w:cs="仿宋"/>
          <w:bCs w:val="0"/>
          <w:szCs w:val="24"/>
        </w:rPr>
        <w:fldChar w:fldCharType="separate"/>
      </w:r>
      <w:r>
        <w:rPr>
          <w:rFonts w:hint="eastAsia" w:ascii="仿宋" w:hAnsi="仿宋" w:eastAsia="仿宋" w:cs="仿宋"/>
        </w:rPr>
        <w:t>一、项目概况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_Toc2048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_Toc19757 </w:instrText>
      </w:r>
      <w:r>
        <w:rPr>
          <w:rFonts w:hint="eastAsia" w:ascii="仿宋" w:hAnsi="仿宋" w:eastAsia="仿宋" w:cs="仿宋"/>
          <w:bCs w:val="0"/>
          <w:szCs w:val="24"/>
        </w:rPr>
        <w:fldChar w:fldCharType="separate"/>
      </w:r>
      <w:r>
        <w:rPr>
          <w:rFonts w:hint="eastAsia" w:ascii="仿宋" w:hAnsi="仿宋" w:eastAsia="仿宋" w:cs="仿宋"/>
        </w:rPr>
        <w:t>二、服务要求及服务内容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_Toc19757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_Toc30311 </w:instrText>
      </w:r>
      <w:r>
        <w:rPr>
          <w:rFonts w:hint="eastAsia" w:ascii="仿宋" w:hAnsi="仿宋" w:eastAsia="仿宋" w:cs="仿宋"/>
          <w:bCs w:val="0"/>
          <w:szCs w:val="24"/>
        </w:rPr>
        <w:fldChar w:fldCharType="separate"/>
      </w:r>
      <w:r>
        <w:rPr>
          <w:rFonts w:hint="eastAsia" w:ascii="仿宋" w:hAnsi="仿宋" w:eastAsia="仿宋" w:cs="仿宋"/>
        </w:rPr>
        <w:t>三、危废转移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_Toc30311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_Toc229 </w:instrText>
      </w:r>
      <w:r>
        <w:rPr>
          <w:rFonts w:hint="eastAsia" w:ascii="仿宋" w:hAnsi="仿宋" w:eastAsia="仿宋" w:cs="仿宋"/>
          <w:bCs w:val="0"/>
          <w:szCs w:val="24"/>
        </w:rPr>
        <w:fldChar w:fldCharType="separate"/>
      </w:r>
      <w:r>
        <w:rPr>
          <w:rFonts w:hint="eastAsia" w:ascii="仿宋" w:hAnsi="仿宋" w:eastAsia="仿宋" w:cs="仿宋"/>
        </w:rPr>
        <w:t>四、安全约定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_Toc15767 </w:instrText>
      </w:r>
      <w:r>
        <w:rPr>
          <w:rFonts w:hint="eastAsia" w:ascii="仿宋" w:hAnsi="仿宋" w:eastAsia="仿宋" w:cs="仿宋"/>
          <w:bCs w:val="0"/>
          <w:szCs w:val="24"/>
        </w:rPr>
        <w:fldChar w:fldCharType="separate"/>
      </w:r>
      <w:r>
        <w:rPr>
          <w:rFonts w:hint="eastAsia" w:ascii="仿宋" w:hAnsi="仿宋" w:eastAsia="仿宋" w:cs="仿宋"/>
          <w:bCs w:val="0"/>
          <w:kern w:val="2"/>
          <w:lang w:eastAsia="zh-CN"/>
        </w:rPr>
        <w:t>五、服务期限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_Toc15767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_Toc26350 </w:instrText>
      </w:r>
      <w:r>
        <w:rPr>
          <w:rFonts w:hint="eastAsia" w:ascii="仿宋" w:hAnsi="仿宋" w:eastAsia="仿宋" w:cs="仿宋"/>
          <w:bCs w:val="0"/>
          <w:szCs w:val="24"/>
        </w:rPr>
        <w:fldChar w:fldCharType="separate"/>
      </w:r>
      <w:r>
        <w:rPr>
          <w:rFonts w:hint="eastAsia" w:ascii="仿宋" w:hAnsi="仿宋" w:eastAsia="仿宋" w:cs="仿宋"/>
          <w:lang w:eastAsia="zh-CN"/>
        </w:rPr>
        <w:t>六</w:t>
      </w:r>
      <w:r>
        <w:rPr>
          <w:rFonts w:hint="eastAsia" w:ascii="仿宋" w:hAnsi="仿宋" w:eastAsia="仿宋" w:cs="仿宋"/>
        </w:rPr>
        <w:t>、付款方式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_Toc26350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_Toc12503 </w:instrText>
      </w:r>
      <w:r>
        <w:rPr>
          <w:rFonts w:hint="eastAsia" w:ascii="仿宋" w:hAnsi="仿宋" w:eastAsia="仿宋" w:cs="仿宋"/>
          <w:bCs w:val="0"/>
          <w:szCs w:val="24"/>
        </w:rPr>
        <w:fldChar w:fldCharType="separate"/>
      </w:r>
      <w:r>
        <w:rPr>
          <w:rFonts w:hint="eastAsia" w:ascii="仿宋" w:hAnsi="仿宋" w:eastAsia="仿宋" w:cs="仿宋"/>
          <w:lang w:eastAsia="zh-CN"/>
        </w:rPr>
        <w:t>七</w:t>
      </w:r>
      <w:r>
        <w:rPr>
          <w:rFonts w:hint="eastAsia" w:ascii="仿宋" w:hAnsi="仿宋" w:eastAsia="仿宋" w:cs="仿宋"/>
        </w:rPr>
        <w:t>、其他要求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_Toc12503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_Toc5314 </w:instrText>
      </w:r>
      <w:r>
        <w:rPr>
          <w:rFonts w:hint="eastAsia" w:ascii="仿宋" w:hAnsi="仿宋" w:eastAsia="仿宋" w:cs="仿宋"/>
          <w:bCs w:val="0"/>
          <w:szCs w:val="24"/>
        </w:rPr>
        <w:fldChar w:fldCharType="separate"/>
      </w:r>
      <w:r>
        <w:rPr>
          <w:rFonts w:hint="eastAsia" w:ascii="仿宋" w:hAnsi="仿宋" w:eastAsia="仿宋" w:cs="仿宋"/>
        </w:rPr>
        <w:t>第三章  投标人须知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_Toc5314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_Toc10688 </w:instrText>
      </w:r>
      <w:r>
        <w:rPr>
          <w:rFonts w:hint="eastAsia" w:ascii="仿宋" w:hAnsi="仿宋" w:eastAsia="仿宋" w:cs="仿宋"/>
          <w:bCs w:val="0"/>
          <w:szCs w:val="24"/>
        </w:rPr>
        <w:fldChar w:fldCharType="separate"/>
      </w:r>
      <w:r>
        <w:rPr>
          <w:rFonts w:hint="eastAsia" w:ascii="仿宋" w:hAnsi="仿宋" w:eastAsia="仿宋" w:cs="仿宋"/>
        </w:rPr>
        <w:t>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_Toc10688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_Toc22391 </w:instrText>
      </w:r>
      <w:r>
        <w:rPr>
          <w:rFonts w:hint="eastAsia" w:ascii="仿宋" w:hAnsi="仿宋" w:eastAsia="仿宋" w:cs="仿宋"/>
          <w:bCs w:val="0"/>
          <w:szCs w:val="24"/>
        </w:rPr>
        <w:fldChar w:fldCharType="separate"/>
      </w:r>
      <w:r>
        <w:rPr>
          <w:rFonts w:hint="eastAsia" w:ascii="仿宋" w:hAnsi="仿宋" w:eastAsia="仿宋" w:cs="仿宋"/>
          <w:szCs w:val="24"/>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_Toc22391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_Toc15209 </w:instrText>
      </w:r>
      <w:r>
        <w:rPr>
          <w:rFonts w:hint="eastAsia" w:ascii="仿宋" w:hAnsi="仿宋" w:eastAsia="仿宋" w:cs="仿宋"/>
          <w:bCs w:val="0"/>
          <w:szCs w:val="24"/>
        </w:rPr>
        <w:fldChar w:fldCharType="separate"/>
      </w:r>
      <w:r>
        <w:rPr>
          <w:rFonts w:hint="eastAsia" w:ascii="仿宋" w:hAnsi="仿宋" w:eastAsia="仿宋" w:cs="仿宋"/>
          <w:szCs w:val="24"/>
        </w:rPr>
        <w:t>二、招标文件说明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_Toc15209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_Toc28353 </w:instrText>
      </w:r>
      <w:r>
        <w:rPr>
          <w:rFonts w:hint="eastAsia" w:ascii="仿宋" w:hAnsi="仿宋" w:eastAsia="仿宋" w:cs="仿宋"/>
          <w:bCs w:val="0"/>
          <w:szCs w:val="24"/>
        </w:rPr>
        <w:fldChar w:fldCharType="separate"/>
      </w:r>
      <w:r>
        <w:rPr>
          <w:rFonts w:hint="eastAsia" w:ascii="仿宋" w:hAnsi="仿宋" w:eastAsia="仿宋" w:cs="仿宋"/>
          <w:szCs w:val="24"/>
        </w:rPr>
        <w:t>三、投标文件的编制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_Toc28353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_Toc998 </w:instrText>
      </w:r>
      <w:r>
        <w:rPr>
          <w:rFonts w:hint="eastAsia" w:ascii="仿宋" w:hAnsi="仿宋" w:eastAsia="仿宋" w:cs="仿宋"/>
          <w:bCs w:val="0"/>
          <w:szCs w:val="24"/>
        </w:rPr>
        <w:fldChar w:fldCharType="separate"/>
      </w:r>
      <w:r>
        <w:rPr>
          <w:rFonts w:hint="eastAsia" w:ascii="仿宋" w:hAnsi="仿宋" w:eastAsia="仿宋" w:cs="仿宋"/>
          <w:szCs w:val="24"/>
        </w:rPr>
        <w:t>四、投标保证金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_Toc998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_Toc4317 </w:instrText>
      </w:r>
      <w:r>
        <w:rPr>
          <w:rFonts w:hint="eastAsia" w:ascii="仿宋" w:hAnsi="仿宋" w:eastAsia="仿宋" w:cs="仿宋"/>
          <w:bCs w:val="0"/>
          <w:szCs w:val="24"/>
        </w:rPr>
        <w:fldChar w:fldCharType="separate"/>
      </w:r>
      <w:r>
        <w:rPr>
          <w:rFonts w:hint="eastAsia" w:ascii="仿宋" w:hAnsi="仿宋" w:eastAsia="仿宋" w:cs="仿宋"/>
          <w:szCs w:val="24"/>
        </w:rPr>
        <w:t>五、投标文件的包装、装订、提交、修改和撤回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_Toc4317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_Toc14069 </w:instrText>
      </w:r>
      <w:r>
        <w:rPr>
          <w:rFonts w:hint="eastAsia" w:ascii="仿宋" w:hAnsi="仿宋" w:eastAsia="仿宋" w:cs="仿宋"/>
          <w:bCs w:val="0"/>
          <w:szCs w:val="24"/>
        </w:rPr>
        <w:fldChar w:fldCharType="separate"/>
      </w:r>
      <w:r>
        <w:rPr>
          <w:rFonts w:hint="eastAsia" w:ascii="仿宋" w:hAnsi="仿宋" w:eastAsia="仿宋" w:cs="仿宋"/>
          <w:szCs w:val="24"/>
        </w:rPr>
        <w:t>六、开标和评标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_Toc14069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_Toc1833 </w:instrText>
      </w:r>
      <w:r>
        <w:rPr>
          <w:rFonts w:hint="eastAsia" w:ascii="仿宋" w:hAnsi="仿宋" w:eastAsia="仿宋" w:cs="仿宋"/>
          <w:bCs w:val="0"/>
          <w:szCs w:val="24"/>
        </w:rPr>
        <w:fldChar w:fldCharType="separate"/>
      </w:r>
      <w:r>
        <w:rPr>
          <w:rFonts w:hint="eastAsia" w:ascii="仿宋" w:hAnsi="仿宋" w:eastAsia="仿宋" w:cs="仿宋"/>
          <w:szCs w:val="24"/>
        </w:rPr>
        <w:t>七、投标无效的情形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_Toc1833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_Toc4805 </w:instrText>
      </w:r>
      <w:r>
        <w:rPr>
          <w:rFonts w:hint="eastAsia" w:ascii="仿宋" w:hAnsi="仿宋" w:eastAsia="仿宋" w:cs="仿宋"/>
          <w:bCs w:val="0"/>
          <w:szCs w:val="24"/>
        </w:rPr>
        <w:fldChar w:fldCharType="separate"/>
      </w:r>
      <w:r>
        <w:rPr>
          <w:rFonts w:hint="eastAsia" w:ascii="仿宋" w:hAnsi="仿宋" w:eastAsia="仿宋" w:cs="仿宋"/>
          <w:szCs w:val="24"/>
        </w:rPr>
        <w:t>八、法律责任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_Toc4805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_Toc28729 </w:instrText>
      </w:r>
      <w:r>
        <w:rPr>
          <w:rFonts w:hint="eastAsia" w:ascii="仿宋" w:hAnsi="仿宋" w:eastAsia="仿宋" w:cs="仿宋"/>
          <w:bCs w:val="0"/>
          <w:szCs w:val="24"/>
        </w:rPr>
        <w:fldChar w:fldCharType="separate"/>
      </w:r>
      <w:r>
        <w:rPr>
          <w:rFonts w:hint="eastAsia" w:ascii="仿宋" w:hAnsi="仿宋" w:eastAsia="仿宋" w:cs="仿宋"/>
          <w:szCs w:val="24"/>
        </w:rPr>
        <w:t>九、行贿犯罪档案查询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_Toc28729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_Toc14392 </w:instrText>
      </w:r>
      <w:r>
        <w:rPr>
          <w:rFonts w:hint="eastAsia" w:ascii="仿宋" w:hAnsi="仿宋" w:eastAsia="仿宋" w:cs="仿宋"/>
          <w:bCs w:val="0"/>
          <w:szCs w:val="24"/>
        </w:rPr>
        <w:fldChar w:fldCharType="separate"/>
      </w:r>
      <w:r>
        <w:rPr>
          <w:rFonts w:hint="eastAsia" w:ascii="仿宋" w:hAnsi="仿宋" w:eastAsia="仿宋" w:cs="仿宋"/>
          <w:szCs w:val="24"/>
        </w:rPr>
        <w:t>十、询问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_Toc14392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_Toc23445 </w:instrText>
      </w:r>
      <w:r>
        <w:rPr>
          <w:rFonts w:hint="eastAsia" w:ascii="仿宋" w:hAnsi="仿宋" w:eastAsia="仿宋" w:cs="仿宋"/>
          <w:bCs w:val="0"/>
          <w:szCs w:val="24"/>
        </w:rPr>
        <w:fldChar w:fldCharType="separate"/>
      </w:r>
      <w:r>
        <w:rPr>
          <w:rFonts w:hint="eastAsia" w:ascii="仿宋" w:hAnsi="仿宋" w:eastAsia="仿宋" w:cs="仿宋"/>
          <w:szCs w:val="24"/>
        </w:rPr>
        <w:t>十一、质疑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_Toc23445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_Toc27166 </w:instrText>
      </w:r>
      <w:r>
        <w:rPr>
          <w:rFonts w:hint="eastAsia" w:ascii="仿宋" w:hAnsi="仿宋" w:eastAsia="仿宋" w:cs="仿宋"/>
          <w:bCs w:val="0"/>
          <w:szCs w:val="24"/>
        </w:rPr>
        <w:fldChar w:fldCharType="separate"/>
      </w:r>
      <w:r>
        <w:rPr>
          <w:rFonts w:hint="eastAsia" w:ascii="仿宋" w:hAnsi="仿宋" w:eastAsia="仿宋" w:cs="仿宋"/>
          <w:szCs w:val="24"/>
        </w:rPr>
        <w:t>十二、投诉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_Toc27166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_Toc21654 </w:instrText>
      </w:r>
      <w:r>
        <w:rPr>
          <w:rFonts w:hint="eastAsia" w:ascii="仿宋" w:hAnsi="仿宋" w:eastAsia="仿宋" w:cs="仿宋"/>
          <w:bCs w:val="0"/>
          <w:szCs w:val="24"/>
        </w:rPr>
        <w:fldChar w:fldCharType="separate"/>
      </w:r>
      <w:r>
        <w:rPr>
          <w:rFonts w:hint="eastAsia" w:ascii="仿宋" w:hAnsi="仿宋" w:eastAsia="仿宋" w:cs="仿宋"/>
          <w:szCs w:val="24"/>
        </w:rPr>
        <w:t>十三、授予合同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_Toc21654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_Toc4904 </w:instrText>
      </w:r>
      <w:r>
        <w:rPr>
          <w:rFonts w:hint="eastAsia" w:ascii="仿宋" w:hAnsi="仿宋" w:eastAsia="仿宋" w:cs="仿宋"/>
          <w:bCs w:val="0"/>
          <w:szCs w:val="24"/>
        </w:rPr>
        <w:fldChar w:fldCharType="separate"/>
      </w:r>
      <w:r>
        <w:rPr>
          <w:rFonts w:hint="eastAsia" w:ascii="仿宋" w:hAnsi="仿宋" w:eastAsia="仿宋" w:cs="仿宋"/>
          <w:szCs w:val="24"/>
        </w:rPr>
        <w:t>十四、验收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_Toc4904 \h </w:instrText>
      </w:r>
      <w:r>
        <w:rPr>
          <w:rFonts w:hint="eastAsia" w:ascii="仿宋" w:hAnsi="仿宋" w:eastAsia="仿宋" w:cs="仿宋"/>
        </w:rPr>
        <w:fldChar w:fldCharType="separate"/>
      </w:r>
      <w:r>
        <w:rPr>
          <w:rFonts w:hint="eastAsia" w:ascii="仿宋" w:hAnsi="仿宋" w:eastAsia="仿宋" w:cs="仿宋"/>
        </w:rPr>
        <w:t>25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_Toc23797 </w:instrText>
      </w:r>
      <w:r>
        <w:rPr>
          <w:rFonts w:hint="eastAsia" w:ascii="仿宋" w:hAnsi="仿宋" w:eastAsia="仿宋" w:cs="仿宋"/>
          <w:bCs w:val="0"/>
          <w:szCs w:val="24"/>
        </w:rPr>
        <w:fldChar w:fldCharType="separate"/>
      </w:r>
      <w:r>
        <w:rPr>
          <w:rFonts w:hint="eastAsia" w:ascii="仿宋" w:hAnsi="仿宋" w:eastAsia="仿宋" w:cs="仿宋"/>
          <w:szCs w:val="24"/>
        </w:rPr>
        <w:t>十五、政府采购政策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_Toc23797 \h </w:instrText>
      </w:r>
      <w:r>
        <w:rPr>
          <w:rFonts w:hint="eastAsia" w:ascii="仿宋" w:hAnsi="仿宋" w:eastAsia="仿宋" w:cs="仿宋"/>
        </w:rPr>
        <w:fldChar w:fldCharType="separate"/>
      </w:r>
      <w:r>
        <w:rPr>
          <w:rFonts w:hint="eastAsia" w:ascii="仿宋" w:hAnsi="仿宋" w:eastAsia="仿宋" w:cs="仿宋"/>
        </w:rPr>
        <w:t>25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_Toc12463 </w:instrText>
      </w:r>
      <w:r>
        <w:rPr>
          <w:rFonts w:hint="eastAsia" w:ascii="仿宋" w:hAnsi="仿宋" w:eastAsia="仿宋" w:cs="仿宋"/>
          <w:bCs w:val="0"/>
          <w:szCs w:val="24"/>
        </w:rPr>
        <w:fldChar w:fldCharType="separate"/>
      </w:r>
      <w:r>
        <w:rPr>
          <w:rFonts w:hint="eastAsia" w:ascii="仿宋" w:hAnsi="仿宋" w:eastAsia="仿宋" w:cs="仿宋"/>
          <w:szCs w:val="24"/>
        </w:rPr>
        <w:t>十六、其他事项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_Toc12463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_Toc7437 </w:instrText>
      </w:r>
      <w:r>
        <w:rPr>
          <w:rFonts w:hint="eastAsia" w:ascii="仿宋" w:hAnsi="仿宋" w:eastAsia="仿宋" w:cs="仿宋"/>
          <w:bCs w:val="0"/>
          <w:szCs w:val="24"/>
        </w:rPr>
        <w:fldChar w:fldCharType="separate"/>
      </w:r>
      <w:r>
        <w:rPr>
          <w:rFonts w:hint="eastAsia" w:ascii="仿宋" w:hAnsi="仿宋" w:eastAsia="仿宋" w:cs="仿宋"/>
        </w:rPr>
        <w:t>第四章  采购合同格式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_Toc7437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_Toc28805 </w:instrText>
      </w:r>
      <w:r>
        <w:rPr>
          <w:rFonts w:hint="eastAsia" w:ascii="仿宋" w:hAnsi="仿宋" w:eastAsia="仿宋" w:cs="仿宋"/>
          <w:bCs w:val="0"/>
          <w:szCs w:val="24"/>
        </w:rPr>
        <w:fldChar w:fldCharType="separate"/>
      </w:r>
      <w:r>
        <w:rPr>
          <w:rFonts w:hint="eastAsia" w:ascii="仿宋" w:hAnsi="仿宋" w:eastAsia="仿宋" w:cs="仿宋"/>
        </w:rPr>
        <w:t>第五章  投标相关文件格式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_Toc28805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_Toc32471 </w:instrText>
      </w:r>
      <w:r>
        <w:rPr>
          <w:rFonts w:hint="eastAsia" w:ascii="仿宋" w:hAnsi="仿宋" w:eastAsia="仿宋" w:cs="仿宋"/>
          <w:bCs w:val="0"/>
          <w:szCs w:val="24"/>
        </w:rPr>
        <w:fldChar w:fldCharType="separate"/>
      </w:r>
      <w:r>
        <w:rPr>
          <w:rFonts w:hint="eastAsia" w:ascii="仿宋" w:hAnsi="仿宋" w:eastAsia="仿宋" w:cs="仿宋"/>
          <w:szCs w:val="24"/>
        </w:rPr>
        <w:t>一、资格审查文件格式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_Toc32471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_Toc610 </w:instrText>
      </w:r>
      <w:r>
        <w:rPr>
          <w:rFonts w:hint="eastAsia" w:ascii="仿宋" w:hAnsi="仿宋" w:eastAsia="仿宋" w:cs="仿宋"/>
          <w:bCs w:val="0"/>
          <w:szCs w:val="24"/>
        </w:rPr>
        <w:fldChar w:fldCharType="separate"/>
      </w:r>
      <w:r>
        <w:rPr>
          <w:rFonts w:hint="eastAsia" w:ascii="仿宋" w:hAnsi="仿宋" w:eastAsia="仿宋" w:cs="仿宋"/>
          <w:szCs w:val="24"/>
        </w:rPr>
        <w:t>1、公司有效营业执照复印件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_Toc610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_Toc21038 </w:instrText>
      </w:r>
      <w:r>
        <w:rPr>
          <w:rFonts w:hint="eastAsia" w:ascii="仿宋" w:hAnsi="仿宋" w:eastAsia="仿宋" w:cs="仿宋"/>
          <w:bCs w:val="0"/>
          <w:szCs w:val="24"/>
        </w:rPr>
        <w:fldChar w:fldCharType="separate"/>
      </w:r>
      <w:r>
        <w:rPr>
          <w:rFonts w:hint="eastAsia" w:ascii="仿宋" w:hAnsi="仿宋" w:eastAsia="仿宋" w:cs="仿宋"/>
          <w:szCs w:val="24"/>
        </w:rPr>
        <w:t>2、授权委托书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_Toc21038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_Toc25009 </w:instrText>
      </w:r>
      <w:r>
        <w:rPr>
          <w:rFonts w:hint="eastAsia" w:ascii="仿宋" w:hAnsi="仿宋" w:eastAsia="仿宋" w:cs="仿宋"/>
          <w:bCs w:val="0"/>
          <w:szCs w:val="24"/>
        </w:rPr>
        <w:fldChar w:fldCharType="separate"/>
      </w:r>
      <w:r>
        <w:rPr>
          <w:rFonts w:hint="eastAsia" w:ascii="仿宋" w:hAnsi="仿宋" w:eastAsia="仿宋" w:cs="仿宋"/>
          <w:szCs w:val="24"/>
        </w:rPr>
        <w:t>4、资格证明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_Toc25009 \h </w:instrText>
      </w:r>
      <w:r>
        <w:rPr>
          <w:rFonts w:hint="eastAsia" w:ascii="仿宋" w:hAnsi="仿宋" w:eastAsia="仿宋" w:cs="仿宋"/>
        </w:rPr>
        <w:fldChar w:fldCharType="separate"/>
      </w:r>
      <w:r>
        <w:rPr>
          <w:rFonts w:hint="eastAsia" w:ascii="仿宋" w:hAnsi="仿宋" w:eastAsia="仿宋" w:cs="仿宋"/>
        </w:rPr>
        <w:t>42</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_Toc19429 </w:instrText>
      </w:r>
      <w:r>
        <w:rPr>
          <w:rFonts w:hint="eastAsia" w:ascii="仿宋" w:hAnsi="仿宋" w:eastAsia="仿宋" w:cs="仿宋"/>
          <w:bCs w:val="0"/>
          <w:szCs w:val="24"/>
        </w:rPr>
        <w:fldChar w:fldCharType="separate"/>
      </w:r>
      <w:r>
        <w:rPr>
          <w:rFonts w:hint="eastAsia" w:ascii="仿宋" w:hAnsi="仿宋" w:eastAsia="仿宋" w:cs="仿宋"/>
          <w:szCs w:val="24"/>
        </w:rPr>
        <w:t>5、无重大违法记录声明书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_Toc19429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_Toc17093 </w:instrText>
      </w:r>
      <w:r>
        <w:rPr>
          <w:rFonts w:hint="eastAsia" w:ascii="仿宋" w:hAnsi="仿宋" w:eastAsia="仿宋" w:cs="仿宋"/>
          <w:bCs w:val="0"/>
          <w:szCs w:val="24"/>
        </w:rPr>
        <w:fldChar w:fldCharType="separate"/>
      </w:r>
      <w:r>
        <w:rPr>
          <w:rFonts w:hint="eastAsia" w:ascii="仿宋" w:hAnsi="仿宋" w:eastAsia="仿宋" w:cs="仿宋"/>
          <w:szCs w:val="24"/>
          <w:lang w:val="en-US" w:eastAsia="zh-CN"/>
        </w:rPr>
        <w:t>6、</w:t>
      </w:r>
      <w:r>
        <w:rPr>
          <w:rFonts w:hint="eastAsia" w:ascii="仿宋" w:hAnsi="仿宋" w:eastAsia="仿宋" w:cs="仿宋"/>
          <w:szCs w:val="24"/>
          <w:lang w:eastAsia="zh-CN"/>
        </w:rPr>
        <w:t>本项目的特定资格要求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_Toc17093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_Toc32418 </w:instrText>
      </w:r>
      <w:r>
        <w:rPr>
          <w:rFonts w:hint="eastAsia" w:ascii="仿宋" w:hAnsi="仿宋" w:eastAsia="仿宋" w:cs="仿宋"/>
          <w:bCs w:val="0"/>
          <w:szCs w:val="24"/>
        </w:rPr>
        <w:fldChar w:fldCharType="separate"/>
      </w:r>
      <w:r>
        <w:rPr>
          <w:rFonts w:hint="eastAsia" w:ascii="仿宋" w:hAnsi="仿宋" w:eastAsia="仿宋" w:cs="仿宋"/>
          <w:szCs w:val="24"/>
        </w:rPr>
        <w:t>二、资信商务及技术文件格式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_Toc32418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_Toc26305 </w:instrText>
      </w:r>
      <w:r>
        <w:rPr>
          <w:rFonts w:hint="eastAsia" w:ascii="仿宋" w:hAnsi="仿宋" w:eastAsia="仿宋" w:cs="仿宋"/>
          <w:bCs w:val="0"/>
          <w:szCs w:val="24"/>
        </w:rPr>
        <w:fldChar w:fldCharType="separate"/>
      </w:r>
      <w:r>
        <w:rPr>
          <w:rFonts w:hint="eastAsia" w:ascii="仿宋" w:hAnsi="仿宋" w:eastAsia="仿宋" w:cs="仿宋"/>
          <w:szCs w:val="24"/>
        </w:rPr>
        <w:t>1、投标声明书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_Toc26305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_Toc9134 </w:instrText>
      </w:r>
      <w:r>
        <w:rPr>
          <w:rFonts w:hint="eastAsia" w:ascii="仿宋" w:hAnsi="仿宋" w:eastAsia="仿宋" w:cs="仿宋"/>
          <w:bCs w:val="0"/>
          <w:szCs w:val="24"/>
        </w:rPr>
        <w:fldChar w:fldCharType="separate"/>
      </w:r>
      <w:r>
        <w:rPr>
          <w:rFonts w:hint="eastAsia" w:ascii="仿宋" w:hAnsi="仿宋" w:eastAsia="仿宋" w:cs="仿宋"/>
          <w:szCs w:val="24"/>
        </w:rPr>
        <w:t>2、投标人参标申请表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_Toc9134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_Toc29626 </w:instrText>
      </w:r>
      <w:r>
        <w:rPr>
          <w:rFonts w:hint="eastAsia" w:ascii="仿宋" w:hAnsi="仿宋" w:eastAsia="仿宋" w:cs="仿宋"/>
          <w:bCs w:val="0"/>
          <w:szCs w:val="24"/>
        </w:rPr>
        <w:fldChar w:fldCharType="separate"/>
      </w:r>
      <w:r>
        <w:rPr>
          <w:rFonts w:hint="eastAsia" w:ascii="仿宋" w:hAnsi="仿宋" w:eastAsia="仿宋" w:cs="仿宋"/>
          <w:szCs w:val="24"/>
        </w:rPr>
        <w:t>3、中小企业声明函（服务）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_Toc29626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_Toc31503 </w:instrText>
      </w:r>
      <w:r>
        <w:rPr>
          <w:rFonts w:hint="eastAsia" w:ascii="仿宋" w:hAnsi="仿宋" w:eastAsia="仿宋" w:cs="仿宋"/>
          <w:bCs w:val="0"/>
          <w:szCs w:val="24"/>
        </w:rPr>
        <w:fldChar w:fldCharType="separate"/>
      </w:r>
      <w:r>
        <w:rPr>
          <w:rFonts w:hint="eastAsia" w:ascii="仿宋" w:hAnsi="仿宋" w:eastAsia="仿宋" w:cs="仿宋"/>
          <w:szCs w:val="24"/>
        </w:rPr>
        <w:t>4、残疾人福利性单位声明函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_Toc31503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_Toc6868 </w:instrText>
      </w:r>
      <w:r>
        <w:rPr>
          <w:rFonts w:hint="eastAsia" w:ascii="仿宋" w:hAnsi="仿宋" w:eastAsia="仿宋" w:cs="仿宋"/>
          <w:bCs w:val="0"/>
          <w:szCs w:val="24"/>
        </w:rPr>
        <w:fldChar w:fldCharType="separate"/>
      </w:r>
      <w:r>
        <w:rPr>
          <w:rFonts w:hint="eastAsia" w:ascii="仿宋" w:hAnsi="仿宋" w:eastAsia="仿宋" w:cs="仿宋"/>
          <w:szCs w:val="24"/>
        </w:rPr>
        <w:t>5、监狱企业证明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_Toc6868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_Toc1449 </w:instrText>
      </w:r>
      <w:r>
        <w:rPr>
          <w:rFonts w:hint="eastAsia" w:ascii="仿宋" w:hAnsi="仿宋" w:eastAsia="仿宋" w:cs="仿宋"/>
          <w:bCs w:val="0"/>
          <w:szCs w:val="24"/>
        </w:rPr>
        <w:fldChar w:fldCharType="separate"/>
      </w:r>
      <w:r>
        <w:rPr>
          <w:rFonts w:hint="eastAsia" w:ascii="仿宋" w:hAnsi="仿宋" w:eastAsia="仿宋" w:cs="仿宋"/>
          <w:szCs w:val="24"/>
        </w:rPr>
        <w:t>6、商务响应表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_Toc1449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_Toc25712 </w:instrText>
      </w:r>
      <w:r>
        <w:rPr>
          <w:rFonts w:hint="eastAsia" w:ascii="仿宋" w:hAnsi="仿宋" w:eastAsia="仿宋" w:cs="仿宋"/>
          <w:bCs w:val="0"/>
          <w:szCs w:val="24"/>
        </w:rPr>
        <w:fldChar w:fldCharType="separate"/>
      </w:r>
      <w:r>
        <w:rPr>
          <w:rFonts w:hint="eastAsia" w:ascii="仿宋" w:hAnsi="仿宋" w:eastAsia="仿宋" w:cs="仿宋"/>
        </w:rPr>
        <w:t>7、项目技术方案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_Toc25712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_Toc12604 </w:instrText>
      </w:r>
      <w:r>
        <w:rPr>
          <w:rFonts w:hint="eastAsia" w:ascii="仿宋" w:hAnsi="仿宋" w:eastAsia="仿宋" w:cs="仿宋"/>
          <w:bCs w:val="0"/>
          <w:szCs w:val="24"/>
        </w:rPr>
        <w:fldChar w:fldCharType="separate"/>
      </w:r>
      <w:r>
        <w:rPr>
          <w:rFonts w:hint="eastAsia" w:ascii="仿宋" w:hAnsi="仿宋" w:eastAsia="仿宋" w:cs="仿宋"/>
        </w:rPr>
        <w:t>8、技术参数规格偏离表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_Toc12604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_Toc31395 </w:instrText>
      </w:r>
      <w:r>
        <w:rPr>
          <w:rFonts w:hint="eastAsia" w:ascii="仿宋" w:hAnsi="仿宋" w:eastAsia="仿宋" w:cs="仿宋"/>
          <w:bCs w:val="0"/>
          <w:szCs w:val="24"/>
        </w:rPr>
        <w:fldChar w:fldCharType="separate"/>
      </w:r>
      <w:r>
        <w:rPr>
          <w:rFonts w:hint="eastAsia" w:ascii="仿宋" w:hAnsi="仿宋" w:eastAsia="仿宋" w:cs="仿宋"/>
        </w:rPr>
        <w:t>9、</w:t>
      </w:r>
      <w:r>
        <w:rPr>
          <w:rFonts w:hint="eastAsia" w:ascii="仿宋" w:hAnsi="仿宋" w:eastAsia="仿宋" w:cs="仿宋"/>
          <w:szCs w:val="24"/>
        </w:rPr>
        <w:t>重点和难点分析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_Toc31395 \h </w:instrText>
      </w:r>
      <w:r>
        <w:rPr>
          <w:rFonts w:hint="eastAsia" w:ascii="仿宋" w:hAnsi="仿宋" w:eastAsia="仿宋" w:cs="仿宋"/>
        </w:rPr>
        <w:fldChar w:fldCharType="separate"/>
      </w:r>
      <w:r>
        <w:rPr>
          <w:rFonts w:hint="eastAsia" w:ascii="仿宋" w:hAnsi="仿宋" w:eastAsia="仿宋" w:cs="仿宋"/>
        </w:rPr>
        <w:t>55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_Toc3446 </w:instrText>
      </w:r>
      <w:r>
        <w:rPr>
          <w:rFonts w:hint="eastAsia" w:ascii="仿宋" w:hAnsi="仿宋" w:eastAsia="仿宋" w:cs="仿宋"/>
          <w:bCs w:val="0"/>
          <w:szCs w:val="24"/>
        </w:rPr>
        <w:fldChar w:fldCharType="separate"/>
      </w:r>
      <w:r>
        <w:rPr>
          <w:rFonts w:hint="eastAsia" w:ascii="仿宋" w:hAnsi="仿宋" w:eastAsia="仿宋" w:cs="仿宋"/>
        </w:rPr>
        <w:t>10、</w:t>
      </w:r>
      <w:r>
        <w:rPr>
          <w:rFonts w:hint="eastAsia" w:ascii="仿宋" w:hAnsi="仿宋" w:eastAsia="仿宋" w:cs="仿宋"/>
          <w:szCs w:val="24"/>
        </w:rPr>
        <w:t>质量承诺及保证措施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_Toc3446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_Toc19601 </w:instrText>
      </w:r>
      <w:r>
        <w:rPr>
          <w:rFonts w:hint="eastAsia" w:ascii="仿宋" w:hAnsi="仿宋" w:eastAsia="仿宋" w:cs="仿宋"/>
          <w:bCs w:val="0"/>
          <w:szCs w:val="24"/>
        </w:rPr>
        <w:fldChar w:fldCharType="separate"/>
      </w:r>
      <w:r>
        <w:rPr>
          <w:rFonts w:hint="eastAsia" w:ascii="仿宋" w:hAnsi="仿宋" w:eastAsia="仿宋" w:cs="仿宋"/>
        </w:rPr>
        <w:t>11、</w:t>
      </w:r>
      <w:r>
        <w:rPr>
          <w:rFonts w:hint="eastAsia" w:ascii="仿宋" w:hAnsi="仿宋" w:eastAsia="仿宋" w:cs="仿宋"/>
          <w:szCs w:val="24"/>
        </w:rPr>
        <w:t>项目班子人员配备情况表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_Toc19601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_Toc6774 </w:instrText>
      </w:r>
      <w:r>
        <w:rPr>
          <w:rFonts w:hint="eastAsia" w:ascii="仿宋" w:hAnsi="仿宋" w:eastAsia="仿宋" w:cs="仿宋"/>
          <w:bCs w:val="0"/>
          <w:szCs w:val="24"/>
        </w:rPr>
        <w:fldChar w:fldCharType="separate"/>
      </w:r>
      <w:r>
        <w:rPr>
          <w:rFonts w:hint="eastAsia" w:ascii="仿宋" w:hAnsi="仿宋" w:eastAsia="仿宋" w:cs="仿宋"/>
        </w:rPr>
        <w:t>12、其他（不得出现报价）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_Toc6774 \h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_Toc31066 </w:instrText>
      </w:r>
      <w:r>
        <w:rPr>
          <w:rFonts w:hint="eastAsia" w:ascii="仿宋" w:hAnsi="仿宋" w:eastAsia="仿宋" w:cs="仿宋"/>
          <w:bCs w:val="0"/>
          <w:szCs w:val="24"/>
        </w:rPr>
        <w:fldChar w:fldCharType="separate"/>
      </w:r>
      <w:r>
        <w:rPr>
          <w:rFonts w:hint="eastAsia" w:ascii="仿宋" w:hAnsi="仿宋" w:eastAsia="仿宋" w:cs="仿宋"/>
        </w:rPr>
        <w:t>13、评标办法中要求提供的其他资料（不得出现报价）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_Toc31066 \h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_Toc1128 </w:instrText>
      </w:r>
      <w:r>
        <w:rPr>
          <w:rFonts w:hint="eastAsia" w:ascii="仿宋" w:hAnsi="仿宋" w:eastAsia="仿宋" w:cs="仿宋"/>
          <w:bCs w:val="0"/>
          <w:szCs w:val="24"/>
        </w:rPr>
        <w:fldChar w:fldCharType="separate"/>
      </w:r>
      <w:r>
        <w:rPr>
          <w:rFonts w:hint="eastAsia" w:ascii="仿宋" w:hAnsi="仿宋" w:eastAsia="仿宋" w:cs="仿宋"/>
          <w:szCs w:val="24"/>
        </w:rPr>
        <w:t>三、报价文件格式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_Toc1128 \h </w:instrText>
      </w:r>
      <w:r>
        <w:rPr>
          <w:rFonts w:hint="eastAsia" w:ascii="仿宋" w:hAnsi="仿宋" w:eastAsia="仿宋" w:cs="仿宋"/>
        </w:rPr>
        <w:fldChar w:fldCharType="separate"/>
      </w:r>
      <w:r>
        <w:rPr>
          <w:rFonts w:hint="eastAsia" w:ascii="仿宋" w:hAnsi="仿宋" w:eastAsia="仿宋" w:cs="仿宋"/>
        </w:rPr>
        <w:t>59</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_Toc10173 </w:instrText>
      </w:r>
      <w:r>
        <w:rPr>
          <w:rFonts w:hint="eastAsia" w:ascii="仿宋" w:hAnsi="仿宋" w:eastAsia="仿宋" w:cs="仿宋"/>
          <w:bCs w:val="0"/>
          <w:szCs w:val="24"/>
        </w:rPr>
        <w:fldChar w:fldCharType="separate"/>
      </w:r>
      <w:r>
        <w:rPr>
          <w:rFonts w:hint="eastAsia" w:ascii="仿宋" w:hAnsi="仿宋" w:eastAsia="仿宋" w:cs="仿宋"/>
          <w:szCs w:val="24"/>
        </w:rPr>
        <w:t>1、开标一览表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_Toc10173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_Toc32050 </w:instrText>
      </w:r>
      <w:r>
        <w:rPr>
          <w:rFonts w:hint="eastAsia" w:ascii="仿宋" w:hAnsi="仿宋" w:eastAsia="仿宋" w:cs="仿宋"/>
          <w:bCs w:val="0"/>
          <w:szCs w:val="24"/>
        </w:rPr>
        <w:fldChar w:fldCharType="separate"/>
      </w:r>
      <w:r>
        <w:rPr>
          <w:rFonts w:hint="eastAsia" w:ascii="仿宋" w:hAnsi="仿宋" w:eastAsia="仿宋" w:cs="仿宋"/>
          <w:szCs w:val="24"/>
        </w:rPr>
        <w:t>四   投标文件封面及外层包装封面格式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_Toc32050 \h </w:instrText>
      </w:r>
      <w:r>
        <w:rPr>
          <w:rFonts w:hint="eastAsia" w:ascii="仿宋" w:hAnsi="仿宋" w:eastAsia="仿宋" w:cs="仿宋"/>
        </w:rPr>
        <w:fldChar w:fldCharType="separate"/>
      </w:r>
      <w:r>
        <w:rPr>
          <w:rFonts w:hint="eastAsia" w:ascii="仿宋" w:hAnsi="仿宋" w:eastAsia="仿宋" w:cs="仿宋"/>
        </w:rPr>
        <w:t>61</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_Toc22439 </w:instrText>
      </w:r>
      <w:r>
        <w:rPr>
          <w:rFonts w:hint="eastAsia" w:ascii="仿宋" w:hAnsi="仿宋" w:eastAsia="仿宋" w:cs="仿宋"/>
          <w:bCs w:val="0"/>
          <w:szCs w:val="24"/>
        </w:rPr>
        <w:fldChar w:fldCharType="separate"/>
      </w:r>
      <w:r>
        <w:rPr>
          <w:rFonts w:hint="eastAsia" w:ascii="仿宋" w:hAnsi="仿宋" w:eastAsia="仿宋" w:cs="仿宋"/>
          <w:szCs w:val="24"/>
        </w:rPr>
        <w:t>五  中标供应商公告内容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_Toc22439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_Toc11329 </w:instrText>
      </w:r>
      <w:r>
        <w:rPr>
          <w:rFonts w:hint="eastAsia" w:ascii="仿宋" w:hAnsi="仿宋" w:eastAsia="仿宋" w:cs="仿宋"/>
          <w:bCs w:val="0"/>
          <w:szCs w:val="24"/>
        </w:rPr>
        <w:fldChar w:fldCharType="separate"/>
      </w:r>
      <w:r>
        <w:rPr>
          <w:rFonts w:hint="eastAsia" w:ascii="仿宋" w:hAnsi="仿宋" w:eastAsia="仿宋" w:cs="仿宋"/>
        </w:rPr>
        <w:t>第六章  评审办法和细则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_Toc11329 \h </w:instrText>
      </w:r>
      <w:r>
        <w:rPr>
          <w:rFonts w:hint="eastAsia" w:ascii="仿宋" w:hAnsi="仿宋" w:eastAsia="仿宋" w:cs="仿宋"/>
        </w:rPr>
        <w:fldChar w:fldCharType="separate"/>
      </w:r>
      <w:r>
        <w:rPr>
          <w:rFonts w:hint="eastAsia" w:ascii="仿宋" w:hAnsi="仿宋" w:eastAsia="仿宋" w:cs="仿宋"/>
        </w:rPr>
        <w:t>63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_Toc25912 </w:instrText>
      </w:r>
      <w:r>
        <w:rPr>
          <w:rFonts w:hint="eastAsia" w:ascii="仿宋" w:hAnsi="仿宋" w:eastAsia="仿宋" w:cs="仿宋"/>
          <w:bCs w:val="0"/>
          <w:szCs w:val="24"/>
        </w:rPr>
        <w:fldChar w:fldCharType="separate"/>
      </w:r>
      <w:r>
        <w:rPr>
          <w:rFonts w:hint="eastAsia" w:ascii="仿宋" w:hAnsi="仿宋" w:eastAsia="仿宋" w:cs="仿宋"/>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_Toc25912 \h </w:instrText>
      </w:r>
      <w:r>
        <w:rPr>
          <w:rFonts w:hint="eastAsia" w:ascii="仿宋" w:hAnsi="仿宋" w:eastAsia="仿宋" w:cs="仿宋"/>
        </w:rPr>
        <w:fldChar w:fldCharType="separate"/>
      </w:r>
      <w:r>
        <w:rPr>
          <w:rFonts w:hint="eastAsia" w:ascii="仿宋" w:hAnsi="仿宋" w:eastAsia="仿宋" w:cs="仿宋"/>
        </w:rPr>
        <w:t>63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_Toc11763 </w:instrText>
      </w:r>
      <w:r>
        <w:rPr>
          <w:rFonts w:hint="eastAsia" w:ascii="仿宋" w:hAnsi="仿宋" w:eastAsia="仿宋" w:cs="仿宋"/>
          <w:bCs w:val="0"/>
          <w:szCs w:val="24"/>
        </w:rPr>
        <w:fldChar w:fldCharType="separate"/>
      </w:r>
      <w:r>
        <w:rPr>
          <w:rFonts w:hint="eastAsia" w:ascii="仿宋" w:hAnsi="仿宋" w:eastAsia="仿宋" w:cs="仿宋"/>
        </w:rPr>
        <w:t>二、评标委员会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_Toc11763 \h </w:instrText>
      </w:r>
      <w:r>
        <w:rPr>
          <w:rFonts w:hint="eastAsia" w:ascii="仿宋" w:hAnsi="仿宋" w:eastAsia="仿宋" w:cs="仿宋"/>
        </w:rPr>
        <w:fldChar w:fldCharType="separate"/>
      </w:r>
      <w:r>
        <w:rPr>
          <w:rFonts w:hint="eastAsia" w:ascii="仿宋" w:hAnsi="仿宋" w:eastAsia="仿宋" w:cs="仿宋"/>
        </w:rPr>
        <w:t>63</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_Toc28944 </w:instrText>
      </w:r>
      <w:r>
        <w:rPr>
          <w:rFonts w:hint="eastAsia" w:ascii="仿宋" w:hAnsi="仿宋" w:eastAsia="仿宋" w:cs="仿宋"/>
          <w:bCs w:val="0"/>
          <w:szCs w:val="24"/>
        </w:rPr>
        <w:fldChar w:fldCharType="separate"/>
      </w:r>
      <w:r>
        <w:rPr>
          <w:rFonts w:hint="eastAsia" w:ascii="仿宋" w:hAnsi="仿宋" w:eastAsia="仿宋" w:cs="仿宋"/>
        </w:rPr>
        <w:t>三、评标程序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_Toc28944 \h </w:instrText>
      </w:r>
      <w:r>
        <w:rPr>
          <w:rFonts w:hint="eastAsia" w:ascii="仿宋" w:hAnsi="仿宋" w:eastAsia="仿宋" w:cs="仿宋"/>
        </w:rPr>
        <w:fldChar w:fldCharType="separate"/>
      </w:r>
      <w:r>
        <w:rPr>
          <w:rFonts w:hint="eastAsia" w:ascii="仿宋" w:hAnsi="仿宋" w:eastAsia="仿宋" w:cs="仿宋"/>
        </w:rPr>
        <w:t>64</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_Toc10044 </w:instrText>
      </w:r>
      <w:r>
        <w:rPr>
          <w:rFonts w:hint="eastAsia" w:ascii="仿宋" w:hAnsi="仿宋" w:eastAsia="仿宋" w:cs="仿宋"/>
          <w:bCs w:val="0"/>
          <w:szCs w:val="24"/>
        </w:rPr>
        <w:fldChar w:fldCharType="separate"/>
      </w:r>
      <w:r>
        <w:rPr>
          <w:rFonts w:hint="eastAsia" w:ascii="仿宋" w:hAnsi="仿宋" w:eastAsia="仿宋" w:cs="仿宋"/>
        </w:rPr>
        <w:t>四、评审一般规定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_Toc10044 \h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_Toc16351 </w:instrText>
      </w:r>
      <w:r>
        <w:rPr>
          <w:rFonts w:hint="eastAsia" w:ascii="仿宋" w:hAnsi="仿宋" w:eastAsia="仿宋" w:cs="仿宋"/>
          <w:bCs w:val="0"/>
          <w:szCs w:val="24"/>
        </w:rPr>
        <w:fldChar w:fldCharType="separate"/>
      </w:r>
      <w:r>
        <w:rPr>
          <w:rFonts w:hint="eastAsia" w:ascii="仿宋" w:hAnsi="仿宋" w:eastAsia="仿宋" w:cs="仿宋"/>
        </w:rPr>
        <w:t>五   评标办法和细则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_Toc16351 \h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rPr>
      </w:pPr>
      <w:r>
        <w:rPr>
          <w:rFonts w:hint="eastAsia" w:ascii="仿宋" w:hAnsi="仿宋" w:eastAsia="仿宋" w:cs="仿宋"/>
          <w:bCs w:val="0"/>
          <w:szCs w:val="24"/>
        </w:rPr>
        <w:fldChar w:fldCharType="begin"/>
      </w:r>
      <w:r>
        <w:rPr>
          <w:rFonts w:hint="eastAsia" w:ascii="仿宋" w:hAnsi="仿宋" w:eastAsia="仿宋" w:cs="仿宋"/>
          <w:bCs w:val="0"/>
          <w:szCs w:val="24"/>
        </w:rPr>
        <w:instrText xml:space="preserve"> HYPERLINK \l _Toc22382 </w:instrText>
      </w:r>
      <w:r>
        <w:rPr>
          <w:rFonts w:hint="eastAsia" w:ascii="仿宋" w:hAnsi="仿宋" w:eastAsia="仿宋" w:cs="仿宋"/>
          <w:bCs w:val="0"/>
          <w:szCs w:val="24"/>
        </w:rPr>
        <w:fldChar w:fldCharType="separate"/>
      </w:r>
      <w:r>
        <w:rPr>
          <w:rFonts w:hint="eastAsia" w:ascii="仿宋" w:hAnsi="仿宋" w:eastAsia="仿宋" w:cs="仿宋"/>
        </w:rPr>
        <w:t>六、评审纪律和要求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_Toc22382 \h </w:instrText>
      </w:r>
      <w:r>
        <w:rPr>
          <w:rFonts w:hint="eastAsia" w:ascii="仿宋" w:hAnsi="仿宋" w:eastAsia="仿宋" w:cs="仿宋"/>
        </w:rPr>
        <w:fldChar w:fldCharType="separate"/>
      </w:r>
      <w:r>
        <w:rPr>
          <w:rFonts w:hint="eastAsia" w:ascii="仿宋" w:hAnsi="仿宋" w:eastAsia="仿宋" w:cs="仿宋"/>
        </w:rPr>
        <w:t>67</w:t>
      </w:r>
      <w:r>
        <w:rPr>
          <w:rFonts w:hint="eastAsia" w:ascii="仿宋" w:hAnsi="仿宋" w:eastAsia="仿宋" w:cs="仿宋"/>
        </w:rPr>
        <w:fldChar w:fldCharType="end"/>
      </w:r>
      <w:r>
        <w:rPr>
          <w:rFonts w:hint="eastAsia" w:ascii="仿宋" w:hAnsi="仿宋" w:eastAsia="仿宋" w:cs="仿宋"/>
          <w:bCs w:val="0"/>
          <w:szCs w:val="24"/>
        </w:rPr>
        <w:fldChar w:fldCharType="end"/>
      </w:r>
    </w:p>
    <w:p>
      <w:pPr>
        <w:pStyle w:val="10"/>
        <w:tabs>
          <w:tab w:val="right" w:leader="dot" w:pos="8390"/>
          <w:tab w:val="clear" w:pos="9060"/>
        </w:tabs>
        <w:jc w:val="left"/>
        <w:rPr>
          <w:rFonts w:hint="eastAsia" w:ascii="仿宋" w:hAnsi="仿宋" w:eastAsia="仿宋" w:cs="仿宋"/>
          <w:bCs w:val="0"/>
          <w:szCs w:val="24"/>
        </w:rPr>
      </w:pPr>
      <w:r>
        <w:rPr>
          <w:rFonts w:hint="eastAsia" w:ascii="仿宋" w:hAnsi="仿宋" w:eastAsia="仿宋" w:cs="仿宋"/>
          <w:bCs w:val="0"/>
          <w:szCs w:val="24"/>
        </w:rPr>
        <w:fldChar w:fldCharType="end"/>
      </w:r>
    </w:p>
    <w:p>
      <w:pPr>
        <w:pStyle w:val="10"/>
        <w:tabs>
          <w:tab w:val="right" w:leader="dot" w:pos="8390"/>
          <w:tab w:val="clear" w:pos="9060"/>
        </w:tabs>
        <w:rPr>
          <w:rFonts w:hint="eastAsia" w:ascii="仿宋" w:hAnsi="仿宋" w:eastAsia="仿宋" w:cs="仿宋"/>
          <w:bCs w:val="0"/>
          <w:szCs w:val="24"/>
        </w:rPr>
        <w:sectPr>
          <w:headerReference r:id="rId7" w:type="first"/>
          <w:headerReference r:id="rId6" w:type="default"/>
          <w:footerReference r:id="rId8" w:type="default"/>
          <w:pgSz w:w="11906" w:h="16838"/>
          <w:pgMar w:top="1440" w:right="1758" w:bottom="1440" w:left="1758" w:header="851" w:footer="851" w:gutter="0"/>
          <w:pgNumType w:start="1"/>
          <w:cols w:space="720" w:num="1"/>
          <w:docGrid w:linePitch="312" w:charSpace="0"/>
        </w:sectPr>
      </w:pPr>
    </w:p>
    <w:p>
      <w:pPr>
        <w:pStyle w:val="2"/>
        <w:spacing w:line="560" w:lineRule="exact"/>
        <w:rPr>
          <w:rFonts w:ascii="仿宋" w:hAnsi="仿宋" w:eastAsia="仿宋" w:cs="仿宋"/>
        </w:rPr>
      </w:pPr>
      <w:bookmarkStart w:id="22" w:name="_Toc493956018"/>
      <w:bookmarkStart w:id="23" w:name="_Toc20360"/>
      <w:bookmarkStart w:id="24" w:name="_Toc21062"/>
      <w:bookmarkStart w:id="25" w:name="_Toc25273"/>
      <w:bookmarkStart w:id="26" w:name="_Toc4462"/>
      <w:bookmarkStart w:id="27" w:name="_Toc26030"/>
      <w:bookmarkStart w:id="28" w:name="_Toc16647"/>
      <w:bookmarkStart w:id="29" w:name="_Toc16939"/>
      <w:bookmarkStart w:id="30" w:name="_Toc14512"/>
      <w:r>
        <w:rPr>
          <w:rFonts w:hint="eastAsia" w:ascii="仿宋" w:hAnsi="仿宋" w:eastAsia="仿宋" w:cs="仿宋"/>
        </w:rPr>
        <w:t>第一章</w:t>
      </w:r>
      <w:bookmarkEnd w:id="22"/>
      <w:r>
        <w:rPr>
          <w:rFonts w:hint="eastAsia" w:ascii="仿宋" w:hAnsi="仿宋" w:eastAsia="仿宋" w:cs="仿宋"/>
        </w:rPr>
        <w:t xml:space="preserve">  </w:t>
      </w:r>
      <w:bookmarkStart w:id="621" w:name="_GoBack"/>
      <w:r>
        <w:rPr>
          <w:rFonts w:hint="eastAsia" w:ascii="仿宋" w:hAnsi="仿宋" w:eastAsia="仿宋" w:cs="仿宋"/>
        </w:rPr>
        <w:t>公开招标投标邀请</w:t>
      </w:r>
      <w:bookmarkEnd w:id="23"/>
      <w:bookmarkEnd w:id="24"/>
      <w:bookmarkEnd w:id="25"/>
      <w:bookmarkEnd w:id="26"/>
      <w:bookmarkEnd w:id="27"/>
      <w:bookmarkEnd w:id="28"/>
      <w:bookmarkEnd w:id="29"/>
      <w:bookmarkEnd w:id="30"/>
    </w:p>
    <w:p>
      <w:pPr>
        <w:snapToGrid w:val="0"/>
        <w:jc w:val="left"/>
        <w:textAlignment w:val="baseline"/>
        <w:rPr>
          <w:rFonts w:ascii="仿宋" w:hAnsi="仿宋" w:eastAsia="仿宋" w:cs="仿宋"/>
          <w:b/>
          <w:bCs/>
          <w:kern w:val="0"/>
          <w:sz w:val="36"/>
          <w:szCs w:val="36"/>
        </w:rPr>
      </w:pP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sz w:val="24"/>
          <w:szCs w:val="24"/>
        </w:rPr>
        <w:t>参照《中华人民共和国政府采购法》、《中华人民共和国政府采购法实施条例》等有关规定，</w:t>
      </w:r>
      <w:r>
        <w:rPr>
          <w:rFonts w:hint="eastAsia" w:ascii="仿宋" w:hAnsi="仿宋" w:eastAsia="仿宋" w:cs="仿宋"/>
          <w:b/>
          <w:bCs/>
          <w:sz w:val="24"/>
          <w:szCs w:val="24"/>
          <w:u w:val="single" w:color="000000"/>
        </w:rPr>
        <w:t>浙江丽水兴华工程管理有限公司</w:t>
      </w:r>
      <w:r>
        <w:rPr>
          <w:rFonts w:hint="eastAsia" w:ascii="仿宋" w:hAnsi="仿宋" w:eastAsia="仿宋" w:cs="仿宋"/>
          <w:sz w:val="24"/>
          <w:szCs w:val="24"/>
        </w:rPr>
        <w:t>受</w:t>
      </w:r>
      <w:r>
        <w:rPr>
          <w:rFonts w:hint="eastAsia" w:ascii="仿宋" w:hAnsi="仿宋" w:eastAsia="仿宋" w:cs="仿宋"/>
          <w:b/>
          <w:bCs/>
          <w:sz w:val="24"/>
          <w:szCs w:val="24"/>
          <w:u w:val="single" w:color="000000"/>
        </w:rPr>
        <w:t>景宁畲族自治县环卫清洁服务有限公司</w:t>
      </w:r>
      <w:r>
        <w:rPr>
          <w:rFonts w:hint="eastAsia" w:ascii="仿宋" w:hAnsi="仿宋" w:eastAsia="仿宋" w:cs="仿宋"/>
          <w:sz w:val="24"/>
          <w:szCs w:val="24"/>
        </w:rPr>
        <w:t>的委托，就其</w:t>
      </w:r>
      <w:r>
        <w:rPr>
          <w:rFonts w:hint="eastAsia" w:ascii="仿宋" w:hAnsi="仿宋" w:eastAsia="仿宋" w:cs="仿宋"/>
          <w:b/>
          <w:bCs/>
          <w:sz w:val="24"/>
          <w:szCs w:val="24"/>
          <w:u w:val="single" w:color="000000"/>
        </w:rPr>
        <w:t>生活垃圾焚烧发电厂飞灰处置服务项目</w:t>
      </w:r>
      <w:r>
        <w:rPr>
          <w:rFonts w:hint="eastAsia" w:ascii="仿宋" w:hAnsi="仿宋" w:eastAsia="仿宋" w:cs="仿宋"/>
          <w:sz w:val="24"/>
          <w:szCs w:val="24"/>
        </w:rPr>
        <w:t>进行公开招标采购，欢迎国内符合条件的潜在投标人参加本项目投标。</w:t>
      </w:r>
    </w:p>
    <w:p>
      <w:pPr>
        <w:snapToGrid w:val="0"/>
        <w:spacing w:line="360" w:lineRule="auto"/>
        <w:ind w:firstLine="482" w:firstLineChars="200"/>
        <w:textAlignment w:val="baseline"/>
        <w:rPr>
          <w:rFonts w:ascii="仿宋" w:hAnsi="仿宋" w:eastAsia="仿宋" w:cs="仿宋"/>
          <w:sz w:val="24"/>
        </w:rPr>
      </w:pPr>
      <w:r>
        <w:rPr>
          <w:rFonts w:hint="eastAsia" w:ascii="仿宋" w:hAnsi="仿宋" w:eastAsia="仿宋" w:cs="仿宋"/>
          <w:b/>
          <w:bCs/>
          <w:sz w:val="24"/>
          <w:szCs w:val="24"/>
        </w:rPr>
        <w:t>一. 采购编号：</w:t>
      </w:r>
      <w:r>
        <w:rPr>
          <w:rFonts w:hint="eastAsia" w:ascii="仿宋" w:hAnsi="仿宋" w:eastAsia="仿宋" w:cs="仿宋"/>
          <w:sz w:val="24"/>
        </w:rPr>
        <w:t>兴华招采（</w:t>
      </w:r>
      <w:r>
        <w:rPr>
          <w:rFonts w:hint="eastAsia" w:ascii="仿宋" w:hAnsi="仿宋" w:eastAsia="仿宋" w:cs="仿宋"/>
          <w:sz w:val="24"/>
          <w:lang w:eastAsia="zh-CN"/>
        </w:rPr>
        <w:t>2024</w:t>
      </w:r>
      <w:r>
        <w:rPr>
          <w:rFonts w:hint="eastAsia" w:ascii="仿宋" w:hAnsi="仿宋" w:eastAsia="仿宋" w:cs="仿宋"/>
          <w:sz w:val="24"/>
        </w:rPr>
        <w:t>）</w:t>
      </w:r>
      <w:r>
        <w:rPr>
          <w:rFonts w:hint="eastAsia" w:ascii="仿宋" w:hAnsi="仿宋" w:eastAsia="仿宋" w:cs="仿宋"/>
          <w:sz w:val="24"/>
          <w:lang w:val="en-US" w:eastAsia="zh-CN"/>
        </w:rPr>
        <w:t xml:space="preserve"> 9 </w:t>
      </w:r>
      <w:r>
        <w:rPr>
          <w:rFonts w:hint="eastAsia" w:ascii="仿宋" w:hAnsi="仿宋" w:eastAsia="仿宋" w:cs="仿宋"/>
          <w:sz w:val="24"/>
        </w:rPr>
        <w:t>号</w:t>
      </w:r>
    </w:p>
    <w:p>
      <w:pPr>
        <w:snapToGrid w:val="0"/>
        <w:spacing w:line="360" w:lineRule="auto"/>
        <w:ind w:firstLine="482" w:firstLineChars="200"/>
        <w:jc w:val="left"/>
        <w:textAlignment w:val="baseline"/>
        <w:rPr>
          <w:rFonts w:ascii="仿宋" w:hAnsi="仿宋" w:eastAsia="仿宋" w:cs="仿宋"/>
          <w:sz w:val="24"/>
          <w:szCs w:val="24"/>
        </w:rPr>
      </w:pPr>
      <w:r>
        <w:rPr>
          <w:rFonts w:hint="eastAsia" w:ascii="仿宋" w:hAnsi="仿宋" w:eastAsia="仿宋" w:cs="仿宋"/>
          <w:b/>
          <w:bCs/>
          <w:sz w:val="24"/>
          <w:szCs w:val="24"/>
        </w:rPr>
        <w:t>二. 项目名称：</w:t>
      </w:r>
      <w:r>
        <w:rPr>
          <w:rFonts w:hint="eastAsia" w:ascii="仿宋" w:hAnsi="仿宋" w:eastAsia="仿宋" w:cs="仿宋"/>
          <w:sz w:val="24"/>
        </w:rPr>
        <w:t>景宁畲族自治县环卫清洁服务有限公司生活垃圾焚烧发电厂飞灰处置服务项目</w:t>
      </w:r>
      <w:r>
        <w:rPr>
          <w:rFonts w:hint="eastAsia" w:ascii="仿宋" w:hAnsi="仿宋" w:eastAsia="仿宋" w:cs="仿宋"/>
          <w:sz w:val="24"/>
          <w:lang w:eastAsia="zh-CN"/>
        </w:rPr>
        <w:t>（第二次</w:t>
      </w:r>
      <w:r>
        <w:rPr>
          <w:rFonts w:hint="eastAsia" w:ascii="仿宋" w:hAnsi="仿宋" w:eastAsia="仿宋" w:cs="仿宋"/>
          <w:sz w:val="24"/>
          <w:lang w:val="en-US" w:eastAsia="zh-CN"/>
        </w:rPr>
        <w:t>)</w:t>
      </w:r>
      <w:r>
        <w:rPr>
          <w:rFonts w:hint="eastAsia" w:ascii="仿宋" w:hAnsi="仿宋" w:eastAsia="仿宋" w:cs="仿宋"/>
          <w:sz w:val="24"/>
        </w:rPr>
        <w:t>（非政府采购项目）</w:t>
      </w: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三. 采购方式：</w:t>
      </w:r>
      <w:r>
        <w:rPr>
          <w:rFonts w:hint="eastAsia" w:ascii="仿宋" w:hAnsi="仿宋" w:eastAsia="仿宋" w:cs="仿宋"/>
          <w:sz w:val="24"/>
          <w:szCs w:val="24"/>
        </w:rPr>
        <w:t>公开招标</w:t>
      </w: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四. 组织类型：</w:t>
      </w:r>
      <w:r>
        <w:rPr>
          <w:rFonts w:hint="eastAsia" w:ascii="仿宋" w:hAnsi="仿宋" w:eastAsia="仿宋" w:cs="仿宋"/>
          <w:sz w:val="24"/>
          <w:szCs w:val="24"/>
        </w:rPr>
        <w:t>委托代理</w:t>
      </w:r>
    </w:p>
    <w:p>
      <w:pPr>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五. 项目概况：</w:t>
      </w:r>
    </w:p>
    <w:tbl>
      <w:tblPr>
        <w:tblStyle w:val="24"/>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287"/>
        <w:gridCol w:w="890"/>
        <w:gridCol w:w="890"/>
        <w:gridCol w:w="216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44" w:type="dxa"/>
            <w:vAlign w:val="center"/>
          </w:tcPr>
          <w:p>
            <w:pPr>
              <w:snapToGrid w:val="0"/>
              <w:jc w:val="center"/>
              <w:textAlignment w:val="baseline"/>
              <w:rPr>
                <w:rFonts w:ascii="仿宋" w:hAnsi="仿宋" w:eastAsia="仿宋" w:cs="仿宋"/>
                <w:b/>
                <w:bCs/>
                <w:sz w:val="24"/>
                <w:szCs w:val="24"/>
              </w:rPr>
            </w:pPr>
            <w:r>
              <w:rPr>
                <w:rFonts w:hint="eastAsia" w:ascii="仿宋" w:hAnsi="仿宋" w:eastAsia="仿宋" w:cs="仿宋"/>
                <w:b/>
                <w:sz w:val="24"/>
              </w:rPr>
              <w:t>序号</w:t>
            </w:r>
          </w:p>
        </w:tc>
        <w:tc>
          <w:tcPr>
            <w:tcW w:w="2287" w:type="dxa"/>
            <w:vAlign w:val="center"/>
          </w:tcPr>
          <w:p>
            <w:pPr>
              <w:snapToGrid w:val="0"/>
              <w:jc w:val="center"/>
              <w:textAlignment w:val="baseline"/>
              <w:rPr>
                <w:rFonts w:ascii="仿宋" w:hAnsi="仿宋" w:eastAsia="仿宋" w:cs="仿宋"/>
                <w:b/>
                <w:bCs/>
                <w:sz w:val="24"/>
                <w:szCs w:val="24"/>
              </w:rPr>
            </w:pPr>
            <w:r>
              <w:rPr>
                <w:rFonts w:hint="eastAsia" w:ascii="仿宋" w:hAnsi="仿宋" w:eastAsia="仿宋" w:cs="仿宋"/>
                <w:b/>
                <w:sz w:val="24"/>
              </w:rPr>
              <w:t>采购内容</w:t>
            </w:r>
          </w:p>
        </w:tc>
        <w:tc>
          <w:tcPr>
            <w:tcW w:w="890" w:type="dxa"/>
            <w:vAlign w:val="center"/>
          </w:tcPr>
          <w:p>
            <w:pPr>
              <w:snapToGrid w:val="0"/>
              <w:jc w:val="center"/>
              <w:textAlignment w:val="baseline"/>
              <w:rPr>
                <w:rFonts w:ascii="仿宋" w:hAnsi="仿宋" w:eastAsia="仿宋" w:cs="仿宋"/>
                <w:b/>
                <w:bCs/>
                <w:sz w:val="24"/>
                <w:szCs w:val="24"/>
              </w:rPr>
            </w:pPr>
            <w:r>
              <w:rPr>
                <w:rFonts w:hint="eastAsia" w:ascii="仿宋" w:hAnsi="仿宋" w:eastAsia="仿宋" w:cs="仿宋"/>
                <w:b/>
                <w:sz w:val="24"/>
              </w:rPr>
              <w:t>数量</w:t>
            </w:r>
          </w:p>
        </w:tc>
        <w:tc>
          <w:tcPr>
            <w:tcW w:w="890" w:type="dxa"/>
            <w:vAlign w:val="center"/>
          </w:tcPr>
          <w:p>
            <w:pPr>
              <w:snapToGrid w:val="0"/>
              <w:jc w:val="center"/>
              <w:textAlignment w:val="baseline"/>
              <w:rPr>
                <w:rFonts w:ascii="仿宋" w:hAnsi="仿宋" w:eastAsia="仿宋" w:cs="仿宋"/>
                <w:b/>
                <w:bCs/>
                <w:sz w:val="24"/>
                <w:szCs w:val="24"/>
              </w:rPr>
            </w:pPr>
            <w:r>
              <w:rPr>
                <w:rFonts w:hint="eastAsia" w:ascii="仿宋" w:hAnsi="仿宋" w:eastAsia="仿宋" w:cs="仿宋"/>
                <w:b/>
                <w:sz w:val="24"/>
              </w:rPr>
              <w:t>单位</w:t>
            </w:r>
          </w:p>
        </w:tc>
        <w:tc>
          <w:tcPr>
            <w:tcW w:w="2160" w:type="dxa"/>
            <w:vAlign w:val="center"/>
          </w:tcPr>
          <w:p>
            <w:pPr>
              <w:snapToGrid w:val="0"/>
              <w:jc w:val="center"/>
              <w:textAlignment w:val="baseline"/>
              <w:rPr>
                <w:rFonts w:ascii="仿宋" w:hAnsi="仿宋" w:eastAsia="仿宋" w:cs="仿宋"/>
                <w:b/>
                <w:bCs/>
                <w:sz w:val="24"/>
                <w:szCs w:val="24"/>
              </w:rPr>
            </w:pPr>
            <w:r>
              <w:rPr>
                <w:rFonts w:hint="eastAsia" w:ascii="仿宋" w:hAnsi="仿宋" w:eastAsia="仿宋" w:cs="仿宋"/>
                <w:b/>
                <w:sz w:val="24"/>
              </w:rPr>
              <w:t>简要规格描述</w:t>
            </w:r>
          </w:p>
        </w:tc>
        <w:tc>
          <w:tcPr>
            <w:tcW w:w="1845" w:type="dxa"/>
            <w:vAlign w:val="center"/>
          </w:tcPr>
          <w:p>
            <w:pPr>
              <w:snapToGrid w:val="0"/>
              <w:jc w:val="center"/>
              <w:rPr>
                <w:rFonts w:ascii="仿宋" w:hAnsi="仿宋" w:eastAsia="仿宋" w:cs="仿宋"/>
                <w:b/>
                <w:bCs/>
                <w:color w:val="auto"/>
                <w:sz w:val="24"/>
                <w:szCs w:val="24"/>
              </w:rPr>
            </w:pPr>
            <w:r>
              <w:rPr>
                <w:rFonts w:hint="eastAsia" w:ascii="仿宋" w:hAnsi="仿宋" w:eastAsia="仿宋"/>
                <w:b/>
                <w:color w:val="auto"/>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4"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rPr>
              <w:t>1</w:t>
            </w:r>
          </w:p>
        </w:tc>
        <w:tc>
          <w:tcPr>
            <w:tcW w:w="2287"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rPr>
              <w:t>生活垃圾焚烧发电厂飞灰处置服务项目</w:t>
            </w:r>
          </w:p>
        </w:tc>
        <w:tc>
          <w:tcPr>
            <w:tcW w:w="89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rPr>
              <w:t>1</w:t>
            </w:r>
          </w:p>
        </w:tc>
        <w:tc>
          <w:tcPr>
            <w:tcW w:w="89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项</w:t>
            </w:r>
          </w:p>
        </w:tc>
        <w:tc>
          <w:tcPr>
            <w:tcW w:w="216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rPr>
              <w:t>详见本文件第二章</w:t>
            </w:r>
          </w:p>
        </w:tc>
        <w:tc>
          <w:tcPr>
            <w:tcW w:w="1845" w:type="dxa"/>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rPr>
              <w:t>1900元/吨</w:t>
            </w:r>
          </w:p>
        </w:tc>
      </w:tr>
    </w:tbl>
    <w:p>
      <w:pPr>
        <w:tabs>
          <w:tab w:val="left" w:pos="540"/>
        </w:tabs>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六. 投标人的资格：</w:t>
      </w:r>
    </w:p>
    <w:p>
      <w:pPr>
        <w:tabs>
          <w:tab w:val="left" w:pos="540"/>
        </w:tabs>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sz w:val="24"/>
          <w:szCs w:val="24"/>
        </w:rPr>
        <w:t>1. 符合《中华人民共和国政府采购法》第二十二条的规定。</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 投标截止之日至前三年内，在“信用中国网” (www.creditchina.gov.cn)被列入失信被执行人、重大税收违法当事人名单、政府采购严重违法失信行为记录名单的投标人，资格审查时不予以通过。</w:t>
      </w:r>
    </w:p>
    <w:p>
      <w:pPr>
        <w:tabs>
          <w:tab w:val="left" w:pos="540"/>
        </w:tabs>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sz w:val="24"/>
          <w:szCs w:val="24"/>
        </w:rPr>
        <w:t>3. 投标截止之日至前三年内，在“中国政府采购网”(</w:t>
      </w:r>
      <w:r>
        <w:fldChar w:fldCharType="begin"/>
      </w:r>
      <w:r>
        <w:instrText xml:space="preserve"> HYPERLINK "http://www.ccgp.gov.cn" </w:instrText>
      </w:r>
      <w:r>
        <w:fldChar w:fldCharType="separate"/>
      </w:r>
      <w:r>
        <w:rPr>
          <w:rStyle w:val="29"/>
          <w:rFonts w:hint="eastAsia" w:ascii="仿宋" w:hAnsi="仿宋" w:eastAsia="仿宋" w:cs="仿宋"/>
          <w:color w:val="auto"/>
          <w:sz w:val="24"/>
          <w:szCs w:val="24"/>
          <w:u w:color="000000"/>
        </w:rPr>
        <w:t>www.ccgp.gov.cn</w:t>
      </w:r>
      <w:r>
        <w:rPr>
          <w:rStyle w:val="29"/>
          <w:rFonts w:hint="eastAsia" w:ascii="仿宋" w:hAnsi="仿宋" w:eastAsia="仿宋" w:cs="仿宋"/>
          <w:color w:val="auto"/>
          <w:sz w:val="24"/>
          <w:szCs w:val="24"/>
          <w:u w:color="000000"/>
        </w:rPr>
        <w:fldChar w:fldCharType="end"/>
      </w:r>
      <w:r>
        <w:rPr>
          <w:rFonts w:hint="eastAsia" w:ascii="仿宋" w:hAnsi="仿宋" w:eastAsia="仿宋" w:cs="仿宋"/>
          <w:sz w:val="24"/>
          <w:szCs w:val="24"/>
        </w:rPr>
        <w:t>)被列入政府采购严重违法失信行为记录名单中的投标人且在处罚有效期内的投标人，资格审查时不予以通过。</w:t>
      </w:r>
    </w:p>
    <w:p>
      <w:pPr>
        <w:tabs>
          <w:tab w:val="left" w:pos="540"/>
        </w:tabs>
        <w:snapToGrid w:val="0"/>
        <w:spacing w:line="360" w:lineRule="auto"/>
        <w:ind w:firstLine="510"/>
        <w:jc w:val="left"/>
        <w:textAlignment w:val="baseline"/>
        <w:rPr>
          <w:rFonts w:ascii="仿宋" w:hAnsi="仿宋" w:eastAsia="仿宋" w:cs="仿宋"/>
          <w:sz w:val="24"/>
          <w:szCs w:val="24"/>
        </w:rPr>
      </w:pPr>
      <w:r>
        <w:rPr>
          <w:rFonts w:hint="eastAsia" w:ascii="仿宋" w:hAnsi="仿宋" w:eastAsia="仿宋" w:cs="仿宋"/>
          <w:sz w:val="24"/>
          <w:szCs w:val="24"/>
        </w:rPr>
        <w:t>4. 响应截止之日至前三年内，在“浙江政府采购网”（http://zfcg.czt.zj.gov.cn/）“曝光台”中被曝光，处在禁止参加政府采购活动有效期内的供应商，资格审查时不予以通过。</w:t>
      </w:r>
    </w:p>
    <w:p>
      <w:pPr>
        <w:tabs>
          <w:tab w:val="left" w:pos="540"/>
        </w:tabs>
        <w:snapToGrid w:val="0"/>
        <w:spacing w:line="360" w:lineRule="auto"/>
        <w:ind w:firstLine="510"/>
        <w:textAlignment w:val="baseline"/>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5.</w:t>
      </w:r>
      <w:r>
        <w:rPr>
          <w:rFonts w:hint="eastAsia" w:ascii="仿宋" w:hAnsi="仿宋" w:eastAsia="仿宋" w:cs="仿宋"/>
          <w:b/>
          <w:bCs/>
          <w:color w:val="000000" w:themeColor="text1"/>
          <w:sz w:val="24"/>
          <w:szCs w:val="24"/>
          <w:lang w:eastAsia="zh-CN"/>
          <w14:textFill>
            <w14:solidFill>
              <w14:schemeClr w14:val="tx1"/>
            </w14:solidFill>
          </w14:textFill>
        </w:rPr>
        <w:t>本项目的特定资格要求</w:t>
      </w:r>
      <w:r>
        <w:rPr>
          <w:rFonts w:hint="eastAsia" w:ascii="仿宋" w:hAnsi="仿宋" w:eastAsia="仿宋" w:cs="仿宋"/>
          <w:b/>
          <w:bCs/>
          <w:color w:val="000000" w:themeColor="text1"/>
          <w:sz w:val="24"/>
          <w:szCs w:val="24"/>
          <w14:textFill>
            <w14:solidFill>
              <w14:schemeClr w14:val="tx1"/>
            </w14:solidFill>
          </w14:textFill>
        </w:rPr>
        <w:t>：</w:t>
      </w:r>
    </w:p>
    <w:p>
      <w:pPr>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(1)具有危险废物经营许可证(核准经营范围内废物类别HW18，废物代码须包含772-002-18，经营方式须包含收集、贮存、处置或收集、贮存、利用）；</w:t>
      </w:r>
    </w:p>
    <w:p>
      <w:pPr>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(2)具有危险废物运输资质，或提供委托合同可证明与有危废相关类别运输资质的运输公司存在长期稳定合作关系；</w:t>
      </w:r>
    </w:p>
    <w:p>
      <w:pPr>
        <w:snapToGrid w:val="0"/>
        <w:spacing w:line="360" w:lineRule="auto"/>
        <w:ind w:firstLine="480" w:firstLineChars="200"/>
        <w:textAlignment w:val="baseline"/>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）本项目不接受联合体投标</w:t>
      </w:r>
      <w:r>
        <w:rPr>
          <w:rFonts w:hint="eastAsia" w:ascii="仿宋" w:hAnsi="仿宋" w:eastAsia="仿宋" w:cs="仿宋"/>
          <w:kern w:val="0"/>
          <w:sz w:val="24"/>
          <w:szCs w:val="24"/>
          <w:lang w:eastAsia="zh-CN"/>
        </w:rPr>
        <w:t>。</w:t>
      </w:r>
    </w:p>
    <w:p>
      <w:pPr>
        <w:tabs>
          <w:tab w:val="left" w:pos="540"/>
        </w:tabs>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七. 招标文件的获取：</w:t>
      </w:r>
    </w:p>
    <w:p>
      <w:pPr>
        <w:tabs>
          <w:tab w:val="left" w:pos="540"/>
        </w:tabs>
        <w:snapToGrid w:val="0"/>
        <w:spacing w:line="360" w:lineRule="auto"/>
        <w:ind w:firstLine="510"/>
        <w:textAlignment w:val="baseline"/>
        <w:rPr>
          <w:rFonts w:hint="eastAsia" w:ascii="仿宋" w:hAnsi="仿宋" w:eastAsia="仿宋" w:cs="仿宋"/>
          <w:sz w:val="24"/>
          <w:szCs w:val="24"/>
          <w:lang w:eastAsia="zh-CN"/>
        </w:rPr>
      </w:pPr>
      <w:r>
        <w:rPr>
          <w:rFonts w:hint="eastAsia" w:ascii="仿宋" w:hAnsi="仿宋" w:eastAsia="仿宋" w:cs="仿宋"/>
          <w:sz w:val="24"/>
          <w:szCs w:val="24"/>
        </w:rPr>
        <w:t>在浙江政府采购网（http://zfcg.czt.zj.gov.cn/）、丽水市公共资源交易网（http://lssggzy.lishui.gov.cn/lsweb/）发布的公告附件中自行下载</w:t>
      </w:r>
      <w:r>
        <w:rPr>
          <w:rFonts w:hint="eastAsia" w:ascii="仿宋" w:hAnsi="仿宋" w:eastAsia="仿宋" w:cs="仿宋"/>
          <w:sz w:val="24"/>
          <w:szCs w:val="24"/>
          <w:lang w:eastAsia="zh-CN"/>
        </w:rPr>
        <w:t>。</w:t>
      </w: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八. 公告期限：</w:t>
      </w:r>
      <w:r>
        <w:rPr>
          <w:rFonts w:hint="eastAsia" w:ascii="仿宋" w:hAnsi="仿宋" w:eastAsia="仿宋" w:cs="仿宋"/>
          <w:sz w:val="24"/>
          <w:szCs w:val="24"/>
        </w:rPr>
        <w:t>本项目公告期限为5个工作日</w:t>
      </w:r>
    </w:p>
    <w:p>
      <w:pPr>
        <w:tabs>
          <w:tab w:val="left" w:pos="540"/>
        </w:tabs>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九. 投标文件提交截止时间：</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4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1</w:t>
      </w:r>
      <w:r>
        <w:rPr>
          <w:rFonts w:hint="eastAsia" w:ascii="仿宋" w:hAnsi="仿宋" w:eastAsia="仿宋" w:cs="仿宋"/>
          <w:sz w:val="24"/>
          <w:szCs w:val="24"/>
        </w:rPr>
        <w:t>日9：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十. 投标文件提交地址：</w:t>
      </w:r>
      <w:r>
        <w:rPr>
          <w:rFonts w:hint="eastAsia" w:ascii="仿宋" w:hAnsi="仿宋" w:eastAsia="仿宋" w:cs="仿宋"/>
          <w:sz w:val="24"/>
          <w:szCs w:val="24"/>
        </w:rPr>
        <w:t>景宁畲族自治县政府采购中心(景宁畲族自治县红星街道廊桥步行街26号三号楼一楼)</w:t>
      </w:r>
    </w:p>
    <w:p>
      <w:pPr>
        <w:tabs>
          <w:tab w:val="left" w:pos="540"/>
        </w:tabs>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十一．开标时间：</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snapToGrid w:val="0"/>
        <w:spacing w:line="360" w:lineRule="auto"/>
        <w:ind w:firstLine="510"/>
        <w:textAlignment w:val="baseline"/>
        <w:rPr>
          <w:rFonts w:ascii="仿宋" w:hAnsi="仿宋" w:eastAsia="仿宋" w:cs="仿宋"/>
          <w:sz w:val="24"/>
          <w:szCs w:val="24"/>
        </w:rPr>
      </w:pPr>
      <w:r>
        <w:rPr>
          <w:rFonts w:hint="eastAsia" w:ascii="仿宋" w:hAnsi="仿宋" w:eastAsia="仿宋" w:cs="仿宋"/>
          <w:b/>
          <w:bCs/>
          <w:sz w:val="24"/>
          <w:szCs w:val="24"/>
        </w:rPr>
        <w:t>十二．开标地址：</w:t>
      </w:r>
      <w:r>
        <w:rPr>
          <w:rFonts w:hint="eastAsia" w:ascii="仿宋" w:hAnsi="仿宋" w:eastAsia="仿宋" w:cs="仿宋"/>
          <w:sz w:val="24"/>
          <w:szCs w:val="24"/>
        </w:rPr>
        <w:t>景宁畲族自治县政府采购中心(景宁畲族自治县红星街道廊桥步行街26号三号楼一楼)</w:t>
      </w:r>
    </w:p>
    <w:p>
      <w:pPr>
        <w:tabs>
          <w:tab w:val="left" w:pos="540"/>
        </w:tabs>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十三．投标保证金及交付方式：</w:t>
      </w:r>
    </w:p>
    <w:p>
      <w:pPr>
        <w:snapToGrid w:val="0"/>
        <w:spacing w:line="360" w:lineRule="auto"/>
        <w:ind w:firstLine="510"/>
        <w:textAlignment w:val="baseline"/>
        <w:rPr>
          <w:rFonts w:ascii="仿宋" w:hAnsi="仿宋" w:eastAsia="仿宋" w:cs="仿宋"/>
          <w:color w:val="auto"/>
          <w:sz w:val="24"/>
          <w:szCs w:val="24"/>
        </w:rPr>
      </w:pPr>
      <w:r>
        <w:rPr>
          <w:rFonts w:hint="eastAsia" w:ascii="仿宋" w:hAnsi="仿宋" w:eastAsia="仿宋" w:cs="仿宋"/>
          <w:color w:val="auto"/>
          <w:sz w:val="24"/>
          <w:szCs w:val="24"/>
        </w:rPr>
        <w:t>投标保证金(元)：人民币壹万元整（￥10000.00元）</w:t>
      </w:r>
    </w:p>
    <w:p>
      <w:pPr>
        <w:snapToGrid w:val="0"/>
        <w:spacing w:line="360" w:lineRule="auto"/>
        <w:ind w:firstLine="510"/>
        <w:textAlignment w:val="baseline"/>
        <w:rPr>
          <w:rFonts w:ascii="仿宋" w:hAnsi="仿宋" w:eastAsia="仿宋" w:cs="仿宋"/>
          <w:color w:val="auto"/>
          <w:sz w:val="24"/>
          <w:szCs w:val="24"/>
        </w:rPr>
      </w:pPr>
      <w:r>
        <w:rPr>
          <w:rFonts w:hint="eastAsia" w:ascii="仿宋" w:hAnsi="仿宋" w:eastAsia="仿宋" w:cs="仿宋"/>
          <w:color w:val="auto"/>
          <w:sz w:val="24"/>
          <w:szCs w:val="24"/>
        </w:rPr>
        <w:t>投标保证金交纳截止时间：</w:t>
      </w:r>
      <w:r>
        <w:rPr>
          <w:rFonts w:hint="eastAsia" w:ascii="仿宋" w:hAnsi="仿宋" w:eastAsia="仿宋" w:cs="仿宋"/>
          <w:color w:val="auto"/>
          <w:sz w:val="24"/>
          <w:szCs w:val="24"/>
          <w:lang w:eastAsia="zh-CN"/>
        </w:rPr>
        <w:t>2024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日9：</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0（北京时间）前</w:t>
      </w:r>
    </w:p>
    <w:p>
      <w:pPr>
        <w:snapToGrid w:val="0"/>
        <w:spacing w:line="360" w:lineRule="auto"/>
        <w:ind w:firstLine="510"/>
        <w:textAlignment w:val="baseline"/>
        <w:rPr>
          <w:rFonts w:ascii="仿宋" w:hAnsi="仿宋" w:eastAsia="仿宋" w:cs="仿宋"/>
          <w:color w:val="auto"/>
          <w:sz w:val="24"/>
          <w:szCs w:val="24"/>
        </w:rPr>
      </w:pPr>
      <w:r>
        <w:rPr>
          <w:rFonts w:hint="eastAsia" w:ascii="仿宋" w:hAnsi="仿宋" w:eastAsia="仿宋" w:cs="仿宋"/>
          <w:color w:val="auto"/>
          <w:sz w:val="24"/>
          <w:szCs w:val="24"/>
        </w:rPr>
        <w:t>交付方式：从投标人公司（单位）账户直接转到浙江丽水兴华工程管理有限公司账户（以银行对账单为准）；</w:t>
      </w:r>
    </w:p>
    <w:p>
      <w:pPr>
        <w:snapToGrid w:val="0"/>
        <w:spacing w:line="360" w:lineRule="auto"/>
        <w:ind w:firstLine="510"/>
        <w:textAlignment w:val="baseline"/>
        <w:rPr>
          <w:rFonts w:ascii="仿宋" w:hAnsi="仿宋" w:eastAsia="仿宋" w:cs="仿宋"/>
          <w:color w:val="auto"/>
          <w:sz w:val="24"/>
          <w:szCs w:val="24"/>
        </w:rPr>
      </w:pPr>
      <w:r>
        <w:rPr>
          <w:rFonts w:hint="eastAsia" w:ascii="仿宋" w:hAnsi="仿宋" w:eastAsia="仿宋" w:cs="仿宋"/>
          <w:color w:val="auto"/>
          <w:sz w:val="24"/>
          <w:szCs w:val="24"/>
        </w:rPr>
        <w:t>收款单位（户名）：浙江丽水兴华工程管理有限公司</w:t>
      </w:r>
    </w:p>
    <w:p>
      <w:pPr>
        <w:snapToGrid w:val="0"/>
        <w:spacing w:line="360" w:lineRule="auto"/>
        <w:ind w:firstLine="510"/>
        <w:textAlignment w:val="baseline"/>
        <w:rPr>
          <w:rFonts w:ascii="仿宋" w:hAnsi="仿宋" w:eastAsia="仿宋" w:cs="仿宋"/>
          <w:color w:val="auto"/>
          <w:sz w:val="24"/>
          <w:szCs w:val="24"/>
        </w:rPr>
      </w:pPr>
      <w:r>
        <w:rPr>
          <w:rFonts w:hint="eastAsia" w:ascii="仿宋" w:hAnsi="仿宋" w:eastAsia="仿宋" w:cs="仿宋"/>
          <w:color w:val="auto"/>
          <w:sz w:val="24"/>
          <w:szCs w:val="24"/>
        </w:rPr>
        <w:t>开户银行：浙江丽水莲都农村商业银行股份有限公司营业部</w:t>
      </w:r>
    </w:p>
    <w:p>
      <w:pPr>
        <w:snapToGrid w:val="0"/>
        <w:spacing w:line="360" w:lineRule="auto"/>
        <w:ind w:firstLine="510"/>
        <w:textAlignment w:val="baseline"/>
        <w:rPr>
          <w:color w:val="auto"/>
        </w:rPr>
      </w:pPr>
      <w:r>
        <w:rPr>
          <w:rFonts w:hint="eastAsia" w:ascii="仿宋" w:hAnsi="仿宋" w:eastAsia="仿宋" w:cs="仿宋"/>
          <w:color w:val="auto"/>
          <w:sz w:val="24"/>
          <w:szCs w:val="24"/>
        </w:rPr>
        <w:t>银行账号：2010</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0023</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3259</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165</w:t>
      </w:r>
    </w:p>
    <w:p>
      <w:pPr>
        <w:tabs>
          <w:tab w:val="left" w:pos="540"/>
        </w:tabs>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十四．其他事项</w:t>
      </w:r>
    </w:p>
    <w:p>
      <w:pPr>
        <w:tabs>
          <w:tab w:val="left" w:pos="540"/>
        </w:tabs>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tabs>
          <w:tab w:val="left" w:pos="540"/>
        </w:tabs>
        <w:snapToGrid w:val="0"/>
        <w:spacing w:line="360" w:lineRule="auto"/>
        <w:ind w:firstLine="510"/>
        <w:textAlignment w:val="baseline"/>
        <w:rPr>
          <w:rFonts w:ascii="仿宋" w:hAnsi="仿宋" w:eastAsia="仿宋" w:cs="仿宋"/>
          <w:b/>
          <w:bCs/>
          <w:sz w:val="24"/>
          <w:szCs w:val="24"/>
        </w:rPr>
      </w:pPr>
      <w:r>
        <w:rPr>
          <w:rFonts w:hint="eastAsia" w:ascii="仿宋" w:hAnsi="仿宋" w:eastAsia="仿宋" w:cs="仿宋"/>
          <w:b/>
          <w:bCs/>
          <w:sz w:val="24"/>
          <w:szCs w:val="24"/>
        </w:rPr>
        <w:t>十五．联系方式</w:t>
      </w:r>
    </w:p>
    <w:p>
      <w:pPr>
        <w:tabs>
          <w:tab w:val="left" w:pos="540"/>
        </w:tabs>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（1）采购人名称：景宁畲族自治县环卫清洁服务有限公司</w:t>
      </w:r>
    </w:p>
    <w:p>
      <w:pPr>
        <w:tabs>
          <w:tab w:val="left" w:pos="540"/>
        </w:tabs>
        <w:snapToGrid w:val="0"/>
        <w:spacing w:line="360" w:lineRule="auto"/>
        <w:ind w:firstLine="480" w:firstLineChars="200"/>
        <w:textAlignment w:val="baseline"/>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u w:val="none"/>
        </w:rPr>
        <w:t xml:space="preserve">兰杜勇     </w:t>
      </w:r>
      <w:r>
        <w:rPr>
          <w:rFonts w:hint="eastAsia" w:ascii="仿宋" w:hAnsi="仿宋" w:eastAsia="仿宋" w:cs="仿宋"/>
          <w:color w:val="auto"/>
          <w:sz w:val="24"/>
          <w:szCs w:val="24"/>
        </w:rPr>
        <w:t xml:space="preserve">      联系电话：</w:t>
      </w:r>
      <w:r>
        <w:rPr>
          <w:rFonts w:hint="eastAsia" w:ascii="仿宋" w:hAnsi="仿宋" w:eastAsia="仿宋" w:cs="仿宋"/>
          <w:color w:val="auto"/>
          <w:sz w:val="24"/>
          <w:szCs w:val="24"/>
          <w:u w:val="none"/>
          <w:lang w:eastAsia="zh-CN"/>
        </w:rPr>
        <w:t>0578-5087880</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地  址：景宁畲族自治县红星街道胜利路50号</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（2）采购代理机构名称：浙江丽水兴华工程管理有限公司</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项目负责人：</w:t>
      </w:r>
      <w:r>
        <w:rPr>
          <w:rFonts w:hint="eastAsia" w:ascii="仿宋" w:hAnsi="仿宋" w:eastAsia="仿宋" w:cs="仿宋"/>
          <w:color w:val="auto"/>
          <w:sz w:val="24"/>
          <w:szCs w:val="24"/>
          <w:lang w:eastAsia="zh-CN"/>
        </w:rPr>
        <w:t>李</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莲</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联系电话：0578-2360555   传真：0578-2998875</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质疑联系人：洪跃华    联系电话：0578-2998875   传真：0578-2998875</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地址：景宁县红星街道新田小区30幢3号4楼</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 xml:space="preserve">（3）同级监督管理部门名称：景宁畲族自治县环境卫生管理所 </w:t>
      </w:r>
    </w:p>
    <w:p>
      <w:pPr>
        <w:tabs>
          <w:tab w:val="left" w:pos="540"/>
        </w:tabs>
        <w:snapToGrid w:val="0"/>
        <w:spacing w:line="360" w:lineRule="auto"/>
        <w:ind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rPr>
        <w:t xml:space="preserve"> 联系电话：13857097100 </w:t>
      </w:r>
    </w:p>
    <w:p>
      <w:pPr>
        <w:snapToGrid w:val="0"/>
        <w:spacing w:line="360" w:lineRule="auto"/>
        <w:ind w:firstLine="960" w:firstLineChars="400"/>
        <w:textAlignment w:val="baseline"/>
        <w:rPr>
          <w:rFonts w:ascii="仿宋" w:hAnsi="仿宋" w:eastAsia="仿宋" w:cs="仿宋"/>
          <w:sz w:val="24"/>
          <w:szCs w:val="24"/>
        </w:rPr>
      </w:pPr>
    </w:p>
    <w:p>
      <w:pPr>
        <w:snapToGrid w:val="0"/>
        <w:spacing w:line="360" w:lineRule="auto"/>
        <w:ind w:firstLine="960" w:firstLineChars="400"/>
        <w:textAlignment w:val="baseline"/>
        <w:rPr>
          <w:rFonts w:ascii="仿宋" w:hAnsi="仿宋" w:eastAsia="仿宋" w:cs="仿宋"/>
          <w:sz w:val="24"/>
          <w:szCs w:val="24"/>
        </w:rPr>
      </w:pPr>
    </w:p>
    <w:p>
      <w:pPr>
        <w:snapToGrid w:val="0"/>
        <w:spacing w:line="360" w:lineRule="auto"/>
        <w:ind w:right="26"/>
        <w:jc w:val="right"/>
        <w:textAlignment w:val="baseline"/>
        <w:rPr>
          <w:rFonts w:ascii="仿宋" w:hAnsi="仿宋" w:eastAsia="仿宋" w:cs="仿宋"/>
          <w:sz w:val="24"/>
          <w:szCs w:val="24"/>
        </w:rPr>
      </w:pPr>
      <w:r>
        <w:rPr>
          <w:rFonts w:hint="eastAsia" w:ascii="仿宋" w:hAnsi="仿宋" w:eastAsia="仿宋" w:cs="仿宋"/>
          <w:sz w:val="24"/>
          <w:szCs w:val="24"/>
        </w:rPr>
        <w:t>采购人: 景宁畲族自治县环卫清洁服务有限公司</w:t>
      </w:r>
    </w:p>
    <w:p>
      <w:pPr>
        <w:snapToGrid w:val="0"/>
        <w:spacing w:line="360" w:lineRule="auto"/>
        <w:jc w:val="right"/>
        <w:textAlignment w:val="baseline"/>
        <w:rPr>
          <w:rFonts w:ascii="仿宋" w:hAnsi="仿宋" w:eastAsia="仿宋" w:cs="仿宋"/>
          <w:sz w:val="24"/>
          <w:szCs w:val="24"/>
        </w:rPr>
      </w:pPr>
      <w:r>
        <w:rPr>
          <w:rFonts w:hint="eastAsia" w:ascii="仿宋" w:hAnsi="仿宋" w:eastAsia="仿宋" w:cs="仿宋"/>
          <w:sz w:val="24"/>
          <w:szCs w:val="24"/>
        </w:rPr>
        <w:t>采购代理机构:浙江丽水兴华工程管理有限公司</w:t>
      </w:r>
    </w:p>
    <w:p>
      <w:pPr>
        <w:snapToGrid w:val="0"/>
        <w:spacing w:line="360" w:lineRule="auto"/>
        <w:ind w:firstLine="4800" w:firstLineChars="2000"/>
        <w:jc w:val="right"/>
        <w:textAlignment w:val="baseline"/>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w:t>
      </w:r>
    </w:p>
    <w:bookmarkEnd w:id="621"/>
    <w:p>
      <w:pPr>
        <w:snapToGrid w:val="0"/>
        <w:spacing w:line="360" w:lineRule="auto"/>
        <w:ind w:firstLine="5760" w:firstLineChars="2400"/>
        <w:jc w:val="right"/>
        <w:textAlignment w:val="baseline"/>
        <w:rPr>
          <w:rFonts w:ascii="仿宋" w:hAnsi="仿宋" w:eastAsia="仿宋" w:cs="仿宋"/>
          <w:sz w:val="24"/>
          <w:szCs w:val="24"/>
        </w:rPr>
      </w:pPr>
    </w:p>
    <w:p>
      <w:pPr>
        <w:rPr>
          <w:rFonts w:ascii="仿宋" w:hAnsi="仿宋" w:eastAsia="仿宋" w:cs="仿宋"/>
        </w:rPr>
        <w:sectPr>
          <w:footerReference r:id="rId9" w:type="default"/>
          <w:pgSz w:w="11906" w:h="16838"/>
          <w:pgMar w:top="1440" w:right="1758" w:bottom="1440" w:left="1758" w:header="851" w:footer="851" w:gutter="0"/>
          <w:pgNumType w:start="3"/>
          <w:cols w:space="720" w:num="1"/>
          <w:docGrid w:linePitch="312" w:charSpace="0"/>
        </w:sectPr>
      </w:pPr>
      <w:bookmarkStart w:id="31" w:name="_Toc493956019"/>
      <w:r>
        <w:rPr>
          <w:rFonts w:hint="eastAsia" w:ascii="仿宋" w:hAnsi="仿宋" w:eastAsia="仿宋" w:cs="仿宋"/>
        </w:rPr>
        <w:br w:type="page"/>
      </w:r>
    </w:p>
    <w:bookmarkEnd w:id="31"/>
    <w:p>
      <w:pPr>
        <w:pStyle w:val="2"/>
        <w:numPr>
          <w:ilvl w:val="0"/>
          <w:numId w:val="1"/>
        </w:numPr>
        <w:tabs>
          <w:tab w:val="center" w:pos="7040"/>
          <w:tab w:val="left" w:pos="9013"/>
        </w:tabs>
        <w:spacing w:line="560" w:lineRule="exact"/>
        <w:ind w:left="0"/>
        <w:rPr>
          <w:rFonts w:ascii="仿宋" w:hAnsi="仿宋" w:eastAsia="仿宋" w:cs="仿宋"/>
        </w:rPr>
      </w:pPr>
      <w:bookmarkStart w:id="32" w:name="_Toc9364"/>
      <w:bookmarkStart w:id="33" w:name="_Toc17539"/>
      <w:bookmarkStart w:id="34" w:name="_Toc86"/>
      <w:bookmarkStart w:id="35" w:name="_Toc6984"/>
      <w:bookmarkStart w:id="36" w:name="_Toc55"/>
      <w:bookmarkStart w:id="37" w:name="_Toc13534"/>
      <w:bookmarkStart w:id="38" w:name="_Toc27153"/>
      <w:bookmarkStart w:id="39" w:name="_Toc26473"/>
      <w:r>
        <w:rPr>
          <w:rFonts w:hint="eastAsia" w:ascii="仿宋" w:hAnsi="仿宋" w:eastAsia="仿宋" w:cs="仿宋"/>
        </w:rPr>
        <w:t>招标需求</w:t>
      </w:r>
      <w:bookmarkEnd w:id="32"/>
      <w:bookmarkEnd w:id="33"/>
      <w:bookmarkEnd w:id="34"/>
      <w:bookmarkEnd w:id="35"/>
      <w:bookmarkEnd w:id="36"/>
      <w:bookmarkEnd w:id="37"/>
      <w:bookmarkEnd w:id="38"/>
      <w:bookmarkEnd w:id="39"/>
    </w:p>
    <w:p>
      <w:pPr>
        <w:keepNext/>
        <w:jc w:val="left"/>
      </w:pPr>
    </w:p>
    <w:p>
      <w:pPr>
        <w:pStyle w:val="4"/>
        <w:snapToGrid w:val="0"/>
        <w:spacing w:before="200" w:after="200"/>
        <w:ind w:firstLine="0" w:firstLineChars="0"/>
        <w:rPr>
          <w:rFonts w:ascii="仿宋" w:hAnsi="仿宋" w:eastAsia="仿宋" w:cs="仿宋"/>
          <w:color w:val="auto"/>
        </w:rPr>
      </w:pPr>
      <w:bookmarkStart w:id="40" w:name="_Toc14449"/>
      <w:bookmarkStart w:id="41" w:name="_Toc16527"/>
      <w:bookmarkStart w:id="42" w:name="_Toc30133"/>
      <w:bookmarkStart w:id="43" w:name="_Toc2048"/>
      <w:bookmarkStart w:id="44" w:name="_Toc6525"/>
      <w:bookmarkStart w:id="45" w:name="_Toc4311"/>
      <w:bookmarkStart w:id="46" w:name="_Toc24370"/>
      <w:bookmarkStart w:id="47" w:name="_Toc25241"/>
      <w:bookmarkStart w:id="48" w:name="_Toc11787893"/>
      <w:bookmarkStart w:id="49" w:name="_Toc5851"/>
      <w:bookmarkStart w:id="50" w:name="_Toc9152"/>
      <w:bookmarkStart w:id="51" w:name="_Toc13384"/>
      <w:bookmarkStart w:id="52" w:name="_Toc10183"/>
      <w:bookmarkStart w:id="53" w:name="_Toc35551054"/>
      <w:bookmarkStart w:id="54" w:name="_Toc76057177"/>
      <w:r>
        <w:rPr>
          <w:rFonts w:hint="eastAsia" w:ascii="仿宋" w:hAnsi="仿宋" w:eastAsia="仿宋" w:cs="仿宋"/>
          <w:color w:val="auto"/>
        </w:rPr>
        <w:t>一、项目概况</w:t>
      </w:r>
      <w:bookmarkEnd w:id="40"/>
      <w:bookmarkEnd w:id="41"/>
      <w:bookmarkEnd w:id="42"/>
      <w:bookmarkEnd w:id="43"/>
      <w:bookmarkEnd w:id="44"/>
      <w:bookmarkEnd w:id="45"/>
      <w:bookmarkEnd w:id="46"/>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为与浙江省同步实现生活垃圾“零填埋”，丽水市运用跨山统筹模式，先后将云和县、松阳县、景宁县生活垃圾运至莲都区，由丽水市城市生活垃圾焚烧发电厂（丽水旺能环保能源有限公司）处置。为进一步明确和规范飞灰处置工作，现按照“谁产生、谁处置”的原则</w:t>
      </w:r>
      <w:r>
        <w:rPr>
          <w:rFonts w:hint="eastAsia" w:ascii="仿宋" w:hAnsi="仿宋" w:eastAsia="仿宋" w:cs="仿宋"/>
          <w:bCs/>
          <w:color w:val="000000" w:themeColor="text1"/>
          <w:kern w:val="2"/>
          <w14:textFill>
            <w14:solidFill>
              <w14:schemeClr w14:val="tx1"/>
            </w14:solidFill>
          </w14:textFill>
        </w:rPr>
        <w:t>，</w:t>
      </w:r>
      <w:r>
        <w:rPr>
          <w:rFonts w:hint="eastAsia" w:ascii="仿宋" w:hAnsi="仿宋" w:eastAsia="仿宋" w:cs="仿宋"/>
          <w:bCs/>
          <w:color w:val="000000" w:themeColor="text1"/>
          <w:kern w:val="2"/>
          <w:lang w:val="en-US" w:eastAsia="zh-CN"/>
          <w14:textFill>
            <w14:solidFill>
              <w14:schemeClr w14:val="tx1"/>
            </w14:solidFill>
          </w14:textFill>
        </w:rPr>
        <w:t>2023年8月1日起景宁运往</w:t>
      </w:r>
      <w:r>
        <w:rPr>
          <w:rFonts w:hint="eastAsia" w:ascii="仿宋" w:hAnsi="仿宋" w:eastAsia="仿宋" w:cs="仿宋"/>
          <w:bCs/>
          <w:color w:val="000000" w:themeColor="text1"/>
          <w:kern w:val="2"/>
          <w14:textFill>
            <w14:solidFill>
              <w14:schemeClr w14:val="tx1"/>
            </w14:solidFill>
          </w14:textFill>
        </w:rPr>
        <w:t>丽水旺能环保能源有限公司</w:t>
      </w:r>
      <w:r>
        <w:rPr>
          <w:rFonts w:hint="eastAsia" w:ascii="仿宋" w:hAnsi="仿宋" w:eastAsia="仿宋" w:cs="仿宋"/>
          <w:bCs/>
          <w:color w:val="000000" w:themeColor="text1"/>
          <w:kern w:val="2"/>
          <w:lang w:eastAsia="zh-CN"/>
          <w14:textFill>
            <w14:solidFill>
              <w14:schemeClr w14:val="tx1"/>
            </w14:solidFill>
          </w14:textFill>
        </w:rPr>
        <w:t>处置生活垃圾产生的飞灰需由景宁自行负责处置。在日常运行中，</w:t>
      </w:r>
      <w:r>
        <w:rPr>
          <w:rFonts w:hint="eastAsia" w:ascii="仿宋" w:hAnsi="仿宋" w:eastAsia="仿宋" w:cs="仿宋"/>
          <w:bCs/>
          <w:color w:val="000000" w:themeColor="text1"/>
          <w:kern w:val="2"/>
          <w14:textFill>
            <w14:solidFill>
              <w14:schemeClr w14:val="tx1"/>
            </w14:solidFill>
          </w14:textFill>
        </w:rPr>
        <w:t>景</w:t>
      </w:r>
      <w:r>
        <w:rPr>
          <w:rFonts w:hint="eastAsia" w:ascii="仿宋" w:hAnsi="仿宋" w:eastAsia="仿宋" w:cs="仿宋"/>
          <w:bCs/>
          <w:color w:val="auto"/>
          <w:kern w:val="2"/>
        </w:rPr>
        <w:t>宁县经资源化利用处置后由丽水旺能环保能源有限公司处置的生活垃圾约45吨/日，预计日产飞灰量约</w:t>
      </w:r>
      <w:r>
        <w:rPr>
          <w:rFonts w:hint="eastAsia" w:ascii="仿宋" w:hAnsi="仿宋" w:eastAsia="仿宋" w:cs="仿宋"/>
          <w:bCs/>
          <w:color w:val="auto"/>
          <w:kern w:val="2"/>
          <w:lang w:val="en-US" w:eastAsia="zh-CN"/>
        </w:rPr>
        <w:t>1.64</w:t>
      </w:r>
      <w:r>
        <w:rPr>
          <w:rFonts w:hint="eastAsia" w:ascii="仿宋" w:hAnsi="仿宋" w:eastAsia="仿宋" w:cs="仿宋"/>
          <w:bCs/>
          <w:color w:val="auto"/>
          <w:kern w:val="2"/>
        </w:rPr>
        <w:t>吨，年产生飞灰量约600吨（飞灰产生量随季节、垃圾成份、等因素变化，最终以实际量为准），飞灰最终以实际计量为准。</w:t>
      </w:r>
    </w:p>
    <w:p>
      <w:pPr>
        <w:pStyle w:val="4"/>
        <w:snapToGrid w:val="0"/>
        <w:spacing w:before="200" w:after="200"/>
        <w:ind w:firstLine="0" w:firstLineChars="0"/>
        <w:rPr>
          <w:rFonts w:ascii="仿宋" w:hAnsi="仿宋" w:eastAsia="仿宋" w:cs="仿宋"/>
          <w:color w:val="auto"/>
        </w:rPr>
      </w:pPr>
      <w:bookmarkStart w:id="55" w:name="_Toc4248"/>
      <w:bookmarkStart w:id="56" w:name="_Toc23438"/>
      <w:bookmarkStart w:id="57" w:name="_Toc17033"/>
      <w:bookmarkStart w:id="58" w:name="_Toc19757"/>
      <w:bookmarkStart w:id="59" w:name="_Toc14365"/>
      <w:bookmarkStart w:id="60" w:name="_Toc32414"/>
      <w:bookmarkStart w:id="61" w:name="_Toc2674"/>
      <w:r>
        <w:rPr>
          <w:rFonts w:hint="eastAsia" w:ascii="仿宋" w:hAnsi="仿宋" w:eastAsia="仿宋" w:cs="仿宋"/>
          <w:color w:val="auto"/>
        </w:rPr>
        <w:t>二、服务要求及服务内容</w:t>
      </w:r>
      <w:bookmarkEnd w:id="55"/>
      <w:bookmarkEnd w:id="56"/>
      <w:bookmarkEnd w:id="57"/>
      <w:bookmarkEnd w:id="58"/>
      <w:bookmarkEnd w:id="59"/>
      <w:bookmarkEnd w:id="60"/>
      <w:bookmarkEnd w:id="61"/>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2.1．1负责</w:t>
      </w:r>
      <w:r>
        <w:rPr>
          <w:rFonts w:hint="eastAsia" w:ascii="仿宋" w:hAnsi="仿宋" w:eastAsia="仿宋" w:cs="仿宋"/>
          <w:bCs/>
          <w:color w:val="auto"/>
          <w:kern w:val="2"/>
          <w:highlight w:val="none"/>
        </w:rPr>
        <w:t>丽水旺能环保能源有限公司</w:t>
      </w:r>
      <w:r>
        <w:rPr>
          <w:rFonts w:hint="eastAsia" w:ascii="仿宋" w:hAnsi="仿宋" w:eastAsia="仿宋" w:cs="仿宋"/>
          <w:bCs/>
          <w:color w:val="auto"/>
          <w:kern w:val="2"/>
        </w:rPr>
        <w:t>处理景宁县生活垃圾产生飞灰（危险废物代码:772-002-18）的无害化处置。</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2.1.2处置要求：按照国家环保规范要求，科学规范处置飞灰。</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2.1.3危险废物形态:</w:t>
      </w:r>
      <w:r>
        <w:rPr>
          <w:rFonts w:hint="eastAsia" w:ascii="仿宋" w:hAnsi="仿宋" w:eastAsia="仿宋" w:cs="仿宋"/>
          <w:bCs/>
          <w:color w:val="auto"/>
          <w:kern w:val="2"/>
          <w:lang w:eastAsia="zh-CN"/>
        </w:rPr>
        <w:t>螯合飞</w:t>
      </w:r>
      <w:r>
        <w:rPr>
          <w:rFonts w:hint="eastAsia" w:ascii="仿宋" w:hAnsi="仿宋" w:eastAsia="仿宋" w:cs="仿宋"/>
          <w:bCs/>
          <w:color w:val="auto"/>
          <w:kern w:val="2"/>
        </w:rPr>
        <w:t>灰</w:t>
      </w:r>
      <w:r>
        <w:rPr>
          <w:rFonts w:hint="eastAsia" w:ascii="仿宋" w:hAnsi="仿宋" w:eastAsia="仿宋" w:cs="仿宋"/>
          <w:bCs/>
          <w:color w:val="auto"/>
          <w:kern w:val="2"/>
          <w:lang w:eastAsia="zh-CN"/>
        </w:rPr>
        <w:t>或原灰</w:t>
      </w:r>
      <w:r>
        <w:rPr>
          <w:rFonts w:hint="eastAsia" w:ascii="仿宋" w:hAnsi="仿宋" w:eastAsia="仿宋" w:cs="仿宋"/>
          <w:bCs/>
          <w:color w:val="auto"/>
          <w:kern w:val="2"/>
        </w:rPr>
        <w:t>。</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2.1.4处置单位必须按时完成所有产出的飞灰。</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2.1.5飞灰吨袋包装。</w:t>
      </w:r>
    </w:p>
    <w:p>
      <w:pPr>
        <w:pStyle w:val="4"/>
        <w:snapToGrid w:val="0"/>
        <w:spacing w:before="200" w:after="200"/>
        <w:ind w:firstLine="0" w:firstLineChars="0"/>
        <w:rPr>
          <w:rFonts w:ascii="仿宋" w:hAnsi="仿宋" w:eastAsia="仿宋" w:cs="仿宋"/>
          <w:color w:val="auto"/>
        </w:rPr>
      </w:pPr>
      <w:bookmarkStart w:id="62" w:name="_Toc29491"/>
      <w:bookmarkStart w:id="63" w:name="_Toc24000"/>
      <w:bookmarkStart w:id="64" w:name="_Toc28101"/>
      <w:bookmarkStart w:id="65" w:name="_Toc20225"/>
      <w:bookmarkStart w:id="66" w:name="_Toc24472"/>
      <w:bookmarkStart w:id="67" w:name="_Toc30311"/>
      <w:bookmarkStart w:id="68" w:name="_Toc15262"/>
      <w:r>
        <w:rPr>
          <w:rFonts w:hint="eastAsia" w:ascii="仿宋" w:hAnsi="仿宋" w:eastAsia="仿宋" w:cs="仿宋"/>
          <w:color w:val="auto"/>
        </w:rPr>
        <w:t>三、危废转移</w:t>
      </w:r>
      <w:bookmarkEnd w:id="62"/>
      <w:bookmarkEnd w:id="63"/>
      <w:bookmarkEnd w:id="64"/>
      <w:bookmarkEnd w:id="65"/>
      <w:bookmarkEnd w:id="66"/>
      <w:bookmarkEnd w:id="67"/>
      <w:bookmarkEnd w:id="68"/>
    </w:p>
    <w:p>
      <w:pPr>
        <w:pStyle w:val="20"/>
        <w:widowControl w:val="0"/>
        <w:snapToGrid w:val="0"/>
        <w:spacing w:before="0" w:beforeAutospacing="0" w:after="0" w:afterAutospacing="0" w:line="360" w:lineRule="auto"/>
        <w:ind w:firstLine="480" w:firstLineChars="200"/>
        <w:rPr>
          <w:rFonts w:ascii="仿宋" w:hAnsi="仿宋" w:eastAsia="仿宋" w:cs="仿宋"/>
          <w:bCs/>
          <w:color w:val="000000" w:themeColor="text1"/>
          <w:kern w:val="2"/>
          <w14:textFill>
            <w14:solidFill>
              <w14:schemeClr w14:val="tx1"/>
            </w14:solidFill>
          </w14:textFill>
        </w:rPr>
      </w:pPr>
      <w:r>
        <w:rPr>
          <w:rFonts w:hint="eastAsia" w:ascii="仿宋" w:hAnsi="仿宋" w:eastAsia="仿宋" w:cs="仿宋"/>
          <w:bCs/>
          <w:color w:val="auto"/>
          <w:kern w:val="2"/>
        </w:rPr>
        <w:t>3.1处置单位必</w:t>
      </w:r>
      <w:r>
        <w:rPr>
          <w:rFonts w:hint="eastAsia" w:ascii="仿宋" w:hAnsi="仿宋" w:eastAsia="仿宋" w:cs="仿宋"/>
          <w:bCs/>
          <w:color w:val="auto"/>
          <w:kern w:val="2"/>
          <w:highlight w:val="none"/>
        </w:rPr>
        <w:t>须接收</w:t>
      </w:r>
      <w:r>
        <w:rPr>
          <w:rFonts w:hint="eastAsia" w:ascii="仿宋" w:hAnsi="仿宋" w:eastAsia="仿宋" w:cs="仿宋"/>
          <w:bCs/>
          <w:color w:val="auto"/>
          <w:kern w:val="2"/>
        </w:rPr>
        <w:t>丽水旺能环保能源有限公司运往指定地</w:t>
      </w:r>
      <w:r>
        <w:rPr>
          <w:rFonts w:hint="eastAsia" w:ascii="仿宋" w:hAnsi="仿宋" w:eastAsia="仿宋" w:cs="仿宋"/>
          <w:bCs/>
          <w:color w:val="000000" w:themeColor="text1"/>
          <w:kern w:val="2"/>
          <w14:textFill>
            <w14:solidFill>
              <w14:schemeClr w14:val="tx1"/>
            </w14:solidFill>
          </w14:textFill>
        </w:rPr>
        <w:t>点</w:t>
      </w:r>
      <w:r>
        <w:rPr>
          <w:rFonts w:hint="eastAsia" w:ascii="仿宋" w:hAnsi="仿宋" w:eastAsia="仿宋" w:cs="仿宋"/>
          <w:bCs/>
          <w:color w:val="000000" w:themeColor="text1"/>
          <w:kern w:val="2"/>
          <w:lang w:val="en-US" w:eastAsia="zh-CN"/>
          <w14:textFill>
            <w14:solidFill>
              <w14:schemeClr w14:val="tx1"/>
            </w14:solidFill>
          </w14:textFill>
        </w:rPr>
        <w:t>(属于景宁需处置部分）</w:t>
      </w:r>
      <w:r>
        <w:rPr>
          <w:rFonts w:hint="eastAsia" w:ascii="仿宋" w:hAnsi="仿宋" w:eastAsia="仿宋" w:cs="仿宋"/>
          <w:bCs/>
          <w:color w:val="000000" w:themeColor="text1"/>
          <w:kern w:val="2"/>
          <w14:textFill>
            <w14:solidFill>
              <w14:schemeClr w14:val="tx1"/>
            </w14:solidFill>
          </w14:textFill>
        </w:rPr>
        <w:t>的飞灰，安全存放至符合环保要求的存储点。</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000000" w:themeColor="text1"/>
          <w:kern w:val="2"/>
          <w14:textFill>
            <w14:solidFill>
              <w14:schemeClr w14:val="tx1"/>
            </w14:solidFill>
          </w14:textFill>
        </w:rPr>
        <w:t>3.2处置单位必须按环保部门要求，规范</w:t>
      </w:r>
      <w:r>
        <w:rPr>
          <w:rFonts w:hint="eastAsia" w:ascii="仿宋" w:hAnsi="仿宋" w:eastAsia="仿宋" w:cs="仿宋"/>
          <w:bCs/>
          <w:color w:val="000000" w:themeColor="text1"/>
          <w:kern w:val="2"/>
          <w:highlight w:val="none"/>
          <w14:textFill>
            <w14:solidFill>
              <w14:schemeClr w14:val="tx1"/>
            </w14:solidFill>
          </w14:textFill>
        </w:rPr>
        <w:t>接收以及无</w:t>
      </w:r>
      <w:r>
        <w:rPr>
          <w:rFonts w:hint="eastAsia" w:ascii="仿宋" w:hAnsi="仿宋" w:eastAsia="仿宋" w:cs="仿宋"/>
          <w:bCs/>
          <w:color w:val="000000" w:themeColor="text1"/>
          <w:kern w:val="2"/>
          <w14:textFill>
            <w14:solidFill>
              <w14:schemeClr w14:val="tx1"/>
            </w14:solidFill>
          </w14:textFill>
        </w:rPr>
        <w:t>害化处置飞</w:t>
      </w:r>
      <w:r>
        <w:rPr>
          <w:rFonts w:hint="eastAsia" w:ascii="仿宋" w:hAnsi="仿宋" w:eastAsia="仿宋" w:cs="仿宋"/>
          <w:bCs/>
          <w:color w:val="auto"/>
          <w:kern w:val="2"/>
        </w:rPr>
        <w:t>灰。</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3.3处置单位必须按环保部门要求，办理危险废物转移手续，程序不符合要求，不得擅自运输及接收。</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3.4按照《危险废物转移联单管理办法》规定，采购人、中标人需向当地环保部门报备，并由</w:t>
      </w:r>
      <w:r>
        <w:rPr>
          <w:rFonts w:hint="eastAsia" w:ascii="仿宋" w:hAnsi="仿宋" w:eastAsia="仿宋" w:cs="仿宋"/>
          <w:bCs/>
          <w:color w:val="auto"/>
          <w:kern w:val="2"/>
          <w:highlight w:val="none"/>
        </w:rPr>
        <w:t>丽水旺能环保能源有限公司申领危废转移五联单</w:t>
      </w:r>
      <w:r>
        <w:rPr>
          <w:rFonts w:hint="eastAsia" w:ascii="仿宋" w:hAnsi="仿宋" w:eastAsia="仿宋" w:cs="仿宋"/>
          <w:bCs/>
          <w:color w:val="auto"/>
          <w:kern w:val="2"/>
        </w:rPr>
        <w:t>。</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3.5处置的危废中不能混入除约定类别外的其它杂物（如坚硬物件等）。</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3.6危废必须按种类分类包装，“标签”内容清晰。合同范围外及不明危废，中标人拒绝接收。</w:t>
      </w:r>
    </w:p>
    <w:p>
      <w:pPr>
        <w:pStyle w:val="20"/>
        <w:widowControl w:val="0"/>
        <w:snapToGrid w:val="0"/>
        <w:spacing w:before="0" w:beforeAutospacing="0" w:after="0" w:afterAutospacing="0" w:line="360" w:lineRule="auto"/>
        <w:ind w:firstLine="480" w:firstLineChars="200"/>
        <w:rPr>
          <w:rFonts w:ascii="仿宋" w:hAnsi="仿宋" w:eastAsia="仿宋" w:cs="仿宋"/>
          <w:bCs/>
          <w:color w:val="auto"/>
          <w:kern w:val="2"/>
        </w:rPr>
      </w:pPr>
      <w:r>
        <w:rPr>
          <w:rFonts w:hint="eastAsia" w:ascii="仿宋" w:hAnsi="仿宋" w:eastAsia="仿宋" w:cs="仿宋"/>
          <w:bCs/>
          <w:color w:val="auto"/>
          <w:kern w:val="2"/>
        </w:rPr>
        <w:t>3.7中标单位需在浙江省固体废物监管信息系统中注册账号，并能及时确认处置数量和处置费用。</w:t>
      </w:r>
    </w:p>
    <w:p>
      <w:pPr>
        <w:pStyle w:val="4"/>
        <w:snapToGrid w:val="0"/>
        <w:spacing w:before="200" w:after="200"/>
        <w:ind w:firstLine="0" w:firstLineChars="0"/>
        <w:rPr>
          <w:rFonts w:ascii="仿宋" w:hAnsi="仿宋" w:eastAsia="仿宋" w:cs="仿宋"/>
          <w:color w:val="auto"/>
        </w:rPr>
      </w:pPr>
      <w:bookmarkStart w:id="69" w:name="_Toc229"/>
      <w:bookmarkStart w:id="70" w:name="_Toc15807"/>
      <w:bookmarkStart w:id="71" w:name="_Toc15250"/>
      <w:bookmarkStart w:id="72" w:name="_Toc7032"/>
      <w:bookmarkStart w:id="73" w:name="_Toc3885"/>
      <w:bookmarkStart w:id="74" w:name="_Toc7102"/>
      <w:bookmarkStart w:id="75" w:name="_Toc5373"/>
      <w:r>
        <w:rPr>
          <w:rFonts w:hint="eastAsia" w:ascii="仿宋" w:hAnsi="仿宋" w:eastAsia="仿宋" w:cs="仿宋"/>
          <w:color w:val="auto"/>
        </w:rPr>
        <w:t>四、安全约定</w:t>
      </w:r>
      <w:bookmarkEnd w:id="69"/>
      <w:bookmarkEnd w:id="70"/>
      <w:bookmarkEnd w:id="71"/>
      <w:bookmarkEnd w:id="72"/>
      <w:bookmarkEnd w:id="73"/>
      <w:bookmarkEnd w:id="74"/>
      <w:bookmarkEnd w:id="75"/>
    </w:p>
    <w:p>
      <w:pPr>
        <w:pStyle w:val="20"/>
        <w:widowControl w:val="0"/>
        <w:snapToGrid w:val="0"/>
        <w:spacing w:before="0" w:beforeAutospacing="0" w:after="0" w:afterAutospacing="0" w:line="360" w:lineRule="auto"/>
        <w:ind w:firstLine="480" w:firstLineChars="200"/>
        <w:rPr>
          <w:rFonts w:hint="eastAsia" w:ascii="仿宋" w:hAnsi="仿宋" w:eastAsia="仿宋" w:cs="仿宋"/>
          <w:bCs/>
          <w:color w:val="auto"/>
          <w:kern w:val="2"/>
        </w:rPr>
      </w:pPr>
      <w:r>
        <w:rPr>
          <w:rFonts w:hint="eastAsia" w:ascii="仿宋" w:hAnsi="仿宋" w:eastAsia="仿宋" w:cs="仿宋"/>
          <w:bCs/>
          <w:color w:val="auto"/>
          <w:kern w:val="2"/>
        </w:rPr>
        <w:t>中标人必须严格按照相关法规处置，由此引起的一切责任由中标人自负，与</w:t>
      </w:r>
      <w:r>
        <w:rPr>
          <w:rFonts w:hint="eastAsia" w:ascii="仿宋" w:hAnsi="仿宋" w:eastAsia="仿宋" w:cs="仿宋"/>
          <w:bCs/>
          <w:color w:val="auto"/>
          <w:kern w:val="2"/>
          <w:lang w:eastAsia="zh-CN"/>
        </w:rPr>
        <w:t>采购</w:t>
      </w:r>
      <w:r>
        <w:rPr>
          <w:rFonts w:hint="eastAsia" w:ascii="仿宋" w:hAnsi="仿宋" w:eastAsia="仿宋" w:cs="仿宋"/>
          <w:bCs/>
          <w:color w:val="auto"/>
          <w:kern w:val="2"/>
        </w:rPr>
        <w:t>方无关。</w:t>
      </w:r>
    </w:p>
    <w:p>
      <w:pPr>
        <w:pStyle w:val="4"/>
        <w:widowControl w:val="0"/>
        <w:snapToGrid w:val="0"/>
        <w:spacing w:before="200" w:beforeAutospacing="0" w:after="200" w:afterAutospacing="0" w:line="360" w:lineRule="auto"/>
        <w:ind w:firstLine="0" w:firstLineChars="0"/>
        <w:rPr>
          <w:rFonts w:hint="eastAsia" w:ascii="仿宋" w:hAnsi="仿宋" w:eastAsia="仿宋" w:cs="仿宋"/>
          <w:bCs/>
          <w:color w:val="auto"/>
          <w:kern w:val="2"/>
          <w:lang w:eastAsia="zh-CN"/>
        </w:rPr>
      </w:pPr>
      <w:bookmarkStart w:id="76" w:name="_Toc28904"/>
      <w:bookmarkStart w:id="77" w:name="_Toc5537"/>
      <w:bookmarkStart w:id="78" w:name="_Toc14916"/>
      <w:bookmarkStart w:id="79" w:name="_Toc16350"/>
      <w:bookmarkStart w:id="80" w:name="_Toc9268"/>
      <w:bookmarkStart w:id="81" w:name="_Toc15767"/>
      <w:r>
        <w:rPr>
          <w:rFonts w:hint="eastAsia" w:ascii="仿宋" w:hAnsi="仿宋" w:eastAsia="仿宋" w:cs="仿宋"/>
          <w:bCs/>
          <w:color w:val="auto"/>
          <w:kern w:val="2"/>
          <w:lang w:eastAsia="zh-CN"/>
        </w:rPr>
        <w:t>五、服务期限</w:t>
      </w:r>
      <w:bookmarkEnd w:id="76"/>
      <w:bookmarkEnd w:id="77"/>
      <w:bookmarkEnd w:id="78"/>
      <w:bookmarkEnd w:id="79"/>
      <w:bookmarkEnd w:id="80"/>
      <w:bookmarkEnd w:id="81"/>
    </w:p>
    <w:p>
      <w:pPr>
        <w:pStyle w:val="20"/>
        <w:widowControl w:val="0"/>
        <w:numPr>
          <w:ilvl w:val="-1"/>
          <w:numId w:val="0"/>
        </w:numPr>
        <w:snapToGrid w:val="0"/>
        <w:spacing w:before="0" w:beforeAutospacing="0" w:after="0" w:afterAutospacing="0" w:line="360" w:lineRule="auto"/>
        <w:ind w:firstLine="480" w:firstLineChars="200"/>
        <w:rPr>
          <w:rFonts w:hint="eastAsia" w:ascii="仿宋" w:hAnsi="仿宋" w:eastAsia="仿宋" w:cs="仿宋"/>
          <w:bCs/>
          <w:color w:val="auto"/>
          <w:kern w:val="2"/>
          <w:lang w:eastAsia="zh-CN"/>
        </w:rPr>
      </w:pPr>
      <w:r>
        <w:rPr>
          <w:rFonts w:hint="eastAsia" w:ascii="仿宋" w:hAnsi="仿宋" w:eastAsia="仿宋" w:cs="仿宋"/>
          <w:bCs/>
          <w:color w:val="auto"/>
          <w:kern w:val="2"/>
          <w:lang w:eastAsia="zh-CN"/>
        </w:rPr>
        <w:t>一年（具体以合同签订时间为准）。</w:t>
      </w:r>
    </w:p>
    <w:p>
      <w:pPr>
        <w:pStyle w:val="4"/>
        <w:snapToGrid w:val="0"/>
        <w:spacing w:before="200" w:after="200"/>
        <w:ind w:firstLine="0" w:firstLineChars="0"/>
        <w:rPr>
          <w:rFonts w:ascii="仿宋" w:hAnsi="仿宋" w:eastAsia="仿宋" w:cs="仿宋"/>
          <w:color w:val="auto"/>
        </w:rPr>
      </w:pPr>
      <w:bookmarkStart w:id="82" w:name="_Toc31712"/>
      <w:bookmarkStart w:id="83" w:name="_Toc26350"/>
      <w:bookmarkStart w:id="84" w:name="_Toc10490"/>
      <w:bookmarkStart w:id="85" w:name="_Toc3627"/>
      <w:bookmarkStart w:id="86" w:name="_Toc14157"/>
      <w:bookmarkStart w:id="87" w:name="_Toc4264"/>
      <w:bookmarkStart w:id="88" w:name="_Toc27996"/>
      <w:r>
        <w:rPr>
          <w:rFonts w:hint="eastAsia" w:ascii="仿宋" w:hAnsi="仿宋" w:eastAsia="仿宋" w:cs="仿宋"/>
          <w:color w:val="auto"/>
          <w:lang w:eastAsia="zh-CN"/>
        </w:rPr>
        <w:t>六</w:t>
      </w:r>
      <w:r>
        <w:rPr>
          <w:rFonts w:hint="eastAsia" w:ascii="仿宋" w:hAnsi="仿宋" w:eastAsia="仿宋" w:cs="仿宋"/>
          <w:color w:val="auto"/>
        </w:rPr>
        <w:t>、付款方式</w:t>
      </w:r>
      <w:bookmarkEnd w:id="82"/>
      <w:bookmarkEnd w:id="83"/>
      <w:bookmarkEnd w:id="84"/>
      <w:bookmarkEnd w:id="85"/>
      <w:bookmarkEnd w:id="86"/>
      <w:bookmarkEnd w:id="87"/>
      <w:bookmarkEnd w:id="88"/>
    </w:p>
    <w:p>
      <w:pPr>
        <w:pStyle w:val="20"/>
        <w:widowControl w:val="0"/>
        <w:snapToGrid w:val="0"/>
        <w:spacing w:before="0" w:beforeAutospacing="0" w:after="0" w:afterAutospacing="0" w:line="360" w:lineRule="auto"/>
        <w:ind w:firstLine="480" w:firstLineChars="200"/>
        <w:rPr>
          <w:rFonts w:ascii="仿宋" w:hAnsi="仿宋" w:eastAsia="仿宋" w:cs="仿宋"/>
          <w:bCs/>
          <w:color w:val="FF0000"/>
          <w:kern w:val="2"/>
        </w:rPr>
      </w:pPr>
      <w:r>
        <w:rPr>
          <w:rFonts w:hint="eastAsia" w:ascii="仿宋" w:hAnsi="仿宋" w:eastAsia="仿宋" w:cs="仿宋"/>
          <w:bCs/>
          <w:color w:val="auto"/>
          <w:kern w:val="2"/>
        </w:rPr>
        <w:t>实际数量（以采购人与中标单位双方通过地磅计量签字确认的数量为准）×中标单价；</w:t>
      </w:r>
      <w:r>
        <w:rPr>
          <w:rFonts w:hint="eastAsia" w:ascii="仿宋" w:hAnsi="仿宋" w:eastAsia="仿宋" w:cs="仿宋"/>
          <w:bCs/>
          <w:color w:val="auto"/>
          <w:kern w:val="2"/>
          <w:highlight w:val="none"/>
          <w:lang w:eastAsia="zh-CN"/>
        </w:rPr>
        <w:t>按季进行结算</w:t>
      </w:r>
      <w:r>
        <w:rPr>
          <w:rFonts w:hint="eastAsia" w:ascii="仿宋" w:hAnsi="仿宋" w:eastAsia="仿宋" w:cs="仿宋"/>
          <w:bCs/>
          <w:color w:val="auto"/>
          <w:kern w:val="2"/>
          <w:highlight w:val="none"/>
        </w:rPr>
        <w:t>。</w:t>
      </w:r>
    </w:p>
    <w:bookmarkEnd w:id="47"/>
    <w:p>
      <w:pPr>
        <w:pStyle w:val="4"/>
        <w:snapToGrid w:val="0"/>
        <w:spacing w:before="200" w:after="200"/>
        <w:ind w:firstLine="0" w:firstLineChars="0"/>
        <w:rPr>
          <w:rFonts w:ascii="仿宋" w:hAnsi="仿宋" w:eastAsia="仿宋" w:cs="仿宋"/>
        </w:rPr>
      </w:pPr>
      <w:bookmarkStart w:id="89" w:name="_Toc2800"/>
      <w:bookmarkStart w:id="90" w:name="_Toc2017"/>
      <w:bookmarkStart w:id="91" w:name="_Toc15298"/>
      <w:bookmarkStart w:id="92" w:name="_Toc12503"/>
      <w:bookmarkStart w:id="93" w:name="_Toc13427"/>
      <w:bookmarkStart w:id="94" w:name="_Toc18067"/>
      <w:bookmarkStart w:id="95" w:name="_Toc16045"/>
      <w:bookmarkStart w:id="96" w:name="_Toc30874"/>
      <w:r>
        <w:rPr>
          <w:rFonts w:hint="eastAsia" w:ascii="仿宋" w:hAnsi="仿宋" w:eastAsia="仿宋" w:cs="仿宋"/>
          <w:lang w:eastAsia="zh-CN"/>
        </w:rPr>
        <w:t>七</w:t>
      </w:r>
      <w:r>
        <w:rPr>
          <w:rFonts w:hint="eastAsia" w:ascii="仿宋" w:hAnsi="仿宋" w:eastAsia="仿宋" w:cs="仿宋"/>
        </w:rPr>
        <w:t>、其他要求</w:t>
      </w:r>
      <w:bookmarkEnd w:id="48"/>
      <w:bookmarkEnd w:id="49"/>
      <w:bookmarkEnd w:id="50"/>
      <w:bookmarkEnd w:id="51"/>
      <w:bookmarkEnd w:id="52"/>
      <w:bookmarkEnd w:id="53"/>
      <w:bookmarkEnd w:id="54"/>
      <w:bookmarkEnd w:id="89"/>
      <w:bookmarkEnd w:id="90"/>
      <w:bookmarkEnd w:id="91"/>
      <w:bookmarkEnd w:id="92"/>
      <w:bookmarkEnd w:id="93"/>
      <w:bookmarkEnd w:id="94"/>
      <w:bookmarkEnd w:id="95"/>
      <w:bookmarkEnd w:id="96"/>
    </w:p>
    <w:p>
      <w:pPr>
        <w:pStyle w:val="20"/>
        <w:widowControl w:val="0"/>
        <w:snapToGrid w:val="0"/>
        <w:spacing w:before="0" w:beforeAutospacing="0" w:after="0" w:afterAutospacing="0" w:line="360" w:lineRule="auto"/>
        <w:ind w:firstLine="480" w:firstLineChars="200"/>
        <w:rPr>
          <w:rFonts w:hint="eastAsia" w:ascii="仿宋" w:hAnsi="仿宋" w:eastAsia="仿宋" w:cs="仿宋"/>
          <w:bCs/>
          <w:color w:val="auto"/>
          <w:kern w:val="2"/>
        </w:rPr>
      </w:pPr>
      <w:r>
        <w:rPr>
          <w:rFonts w:hint="eastAsia" w:ascii="仿宋" w:hAnsi="仿宋" w:eastAsia="仿宋" w:cs="仿宋"/>
          <w:bCs/>
          <w:kern w:val="2"/>
        </w:rPr>
        <w:t>1、现场装</w:t>
      </w:r>
      <w:r>
        <w:rPr>
          <w:rFonts w:hint="eastAsia" w:ascii="仿宋" w:hAnsi="仿宋" w:eastAsia="仿宋" w:cs="仿宋"/>
          <w:bCs/>
          <w:color w:val="auto"/>
          <w:kern w:val="2"/>
        </w:rPr>
        <w:t>货需听从</w:t>
      </w:r>
      <w:r>
        <w:rPr>
          <w:rFonts w:hint="eastAsia" w:ascii="仿宋" w:hAnsi="仿宋" w:eastAsia="仿宋" w:cs="仿宋"/>
          <w:bCs/>
          <w:color w:val="auto"/>
          <w:kern w:val="2"/>
          <w:lang w:eastAsia="zh-CN"/>
        </w:rPr>
        <w:t>采购</w:t>
      </w:r>
      <w:r>
        <w:rPr>
          <w:rFonts w:hint="eastAsia" w:ascii="仿宋" w:hAnsi="仿宋" w:eastAsia="仿宋" w:cs="仿宋"/>
          <w:bCs/>
          <w:color w:val="auto"/>
          <w:kern w:val="2"/>
        </w:rPr>
        <w:t>方指挥；</w:t>
      </w:r>
    </w:p>
    <w:p>
      <w:pPr>
        <w:pStyle w:val="20"/>
        <w:widowControl w:val="0"/>
        <w:snapToGrid w:val="0"/>
        <w:spacing w:before="0" w:beforeAutospacing="0" w:after="0" w:afterAutospacing="0" w:line="360" w:lineRule="auto"/>
        <w:ind w:firstLine="480" w:firstLineChars="200"/>
        <w:rPr>
          <w:rFonts w:hint="eastAsia" w:ascii="仿宋" w:hAnsi="仿宋" w:eastAsia="仿宋" w:cs="仿宋"/>
          <w:bCs/>
          <w:color w:val="auto"/>
          <w:kern w:val="2"/>
        </w:rPr>
      </w:pPr>
      <w:r>
        <w:rPr>
          <w:rFonts w:hint="eastAsia" w:ascii="仿宋" w:hAnsi="仿宋" w:eastAsia="仿宋" w:cs="仿宋"/>
          <w:bCs/>
          <w:color w:val="auto"/>
          <w:kern w:val="2"/>
        </w:rPr>
        <w:t>2、计量以</w:t>
      </w:r>
      <w:r>
        <w:rPr>
          <w:rFonts w:hint="eastAsia" w:ascii="仿宋" w:hAnsi="仿宋" w:eastAsia="仿宋" w:cs="仿宋"/>
          <w:bCs/>
          <w:color w:val="auto"/>
          <w:kern w:val="2"/>
          <w:lang w:eastAsia="zh-CN"/>
        </w:rPr>
        <w:t>采购</w:t>
      </w:r>
      <w:r>
        <w:rPr>
          <w:rFonts w:hint="eastAsia" w:ascii="仿宋" w:hAnsi="仿宋" w:eastAsia="仿宋" w:cs="仿宋"/>
          <w:bCs/>
          <w:color w:val="auto"/>
          <w:kern w:val="2"/>
        </w:rPr>
        <w:t>方地磅数据为准；</w:t>
      </w:r>
    </w:p>
    <w:p>
      <w:pPr>
        <w:pStyle w:val="20"/>
        <w:widowControl w:val="0"/>
        <w:snapToGrid w:val="0"/>
        <w:spacing w:before="0" w:beforeAutospacing="0" w:after="0" w:afterAutospacing="0" w:line="360" w:lineRule="auto"/>
        <w:ind w:firstLine="480" w:firstLineChars="200"/>
        <w:rPr>
          <w:rFonts w:ascii="仿宋" w:hAnsi="仿宋" w:eastAsia="仿宋" w:cs="仿宋"/>
          <w:bCs/>
          <w:kern w:val="2"/>
        </w:rPr>
      </w:pPr>
      <w:r>
        <w:rPr>
          <w:rFonts w:hint="eastAsia" w:ascii="仿宋" w:hAnsi="仿宋" w:eastAsia="仿宋" w:cs="仿宋"/>
          <w:bCs/>
          <w:color w:val="auto"/>
          <w:kern w:val="2"/>
        </w:rPr>
        <w:t>3、由于厂内地磅原因无</w:t>
      </w:r>
      <w:r>
        <w:rPr>
          <w:rFonts w:hint="eastAsia" w:ascii="仿宋" w:hAnsi="仿宋" w:eastAsia="仿宋" w:cs="仿宋"/>
          <w:bCs/>
          <w:kern w:val="2"/>
        </w:rPr>
        <w:t>法进行过磅，需要在外过磅，过磅费用由中标单位自行承担；</w:t>
      </w:r>
    </w:p>
    <w:p>
      <w:pPr>
        <w:pStyle w:val="20"/>
        <w:widowControl w:val="0"/>
        <w:snapToGrid w:val="0"/>
        <w:spacing w:before="0" w:beforeAutospacing="0" w:after="0" w:afterAutospacing="0" w:line="360" w:lineRule="auto"/>
        <w:ind w:firstLine="480" w:firstLineChars="200"/>
        <w:rPr>
          <w:rFonts w:ascii="仿宋" w:hAnsi="仿宋" w:eastAsia="仿宋" w:cs="仿宋"/>
          <w:bCs/>
          <w:kern w:val="2"/>
        </w:rPr>
      </w:pPr>
      <w:r>
        <w:rPr>
          <w:rFonts w:hint="eastAsia" w:ascii="仿宋" w:hAnsi="仿宋" w:eastAsia="仿宋" w:cs="仿宋"/>
          <w:bCs/>
          <w:kern w:val="2"/>
        </w:rPr>
        <w:t>4、</w:t>
      </w:r>
      <w:r>
        <w:rPr>
          <w:rFonts w:ascii="仿宋" w:hAnsi="仿宋" w:eastAsia="仿宋" w:cs="仿宋"/>
          <w:bCs/>
          <w:kern w:val="2"/>
        </w:rPr>
        <w:t>根据政府要求，期间有变动</w:t>
      </w:r>
      <w:r>
        <w:rPr>
          <w:rFonts w:hint="eastAsia" w:ascii="仿宋" w:hAnsi="仿宋" w:eastAsia="仿宋" w:cs="仿宋"/>
          <w:bCs/>
          <w:kern w:val="2"/>
        </w:rPr>
        <w:t>的</w:t>
      </w:r>
      <w:r>
        <w:rPr>
          <w:rFonts w:ascii="仿宋" w:hAnsi="仿宋" w:eastAsia="仿宋" w:cs="仿宋"/>
          <w:bCs/>
          <w:kern w:val="2"/>
        </w:rPr>
        <w:t>，</w:t>
      </w:r>
      <w:r>
        <w:rPr>
          <w:rFonts w:hint="eastAsia" w:ascii="仿宋" w:hAnsi="仿宋" w:eastAsia="仿宋" w:cs="仿宋"/>
          <w:bCs/>
          <w:kern w:val="2"/>
        </w:rPr>
        <w:t>可</w:t>
      </w:r>
      <w:r>
        <w:rPr>
          <w:rFonts w:ascii="仿宋" w:hAnsi="仿宋" w:eastAsia="仿宋" w:cs="仿宋"/>
          <w:bCs/>
          <w:kern w:val="2"/>
        </w:rPr>
        <w:t>随时终止合同</w:t>
      </w:r>
      <w:r>
        <w:rPr>
          <w:rFonts w:hint="eastAsia" w:ascii="仿宋" w:hAnsi="仿宋" w:eastAsia="仿宋" w:cs="仿宋"/>
          <w:bCs/>
          <w:kern w:val="2"/>
        </w:rPr>
        <w:t>；</w:t>
      </w:r>
    </w:p>
    <w:p>
      <w:pPr>
        <w:pStyle w:val="20"/>
        <w:widowControl w:val="0"/>
        <w:snapToGrid w:val="0"/>
        <w:spacing w:before="0" w:beforeAutospacing="0" w:after="0" w:afterAutospacing="0" w:line="360" w:lineRule="auto"/>
        <w:ind w:firstLine="480" w:firstLineChars="200"/>
        <w:rPr>
          <w:rFonts w:ascii="仿宋" w:hAnsi="仿宋" w:eastAsia="仿宋" w:cs="仿宋"/>
          <w:bCs/>
          <w:kern w:val="2"/>
        </w:rPr>
      </w:pPr>
      <w:r>
        <w:rPr>
          <w:rFonts w:hint="eastAsia" w:ascii="仿宋" w:hAnsi="仿宋" w:eastAsia="仿宋" w:cs="仿宋"/>
          <w:bCs/>
          <w:kern w:val="2"/>
        </w:rPr>
        <w:t>5、本项目所涉及的安装数量，招标时确认数量不一定准确时，按其中标单价和实际工程量结算。</w:t>
      </w:r>
      <w:r>
        <w:rPr>
          <w:rFonts w:hint="eastAsia" w:ascii="仿宋" w:hAnsi="仿宋" w:eastAsia="仿宋" w:cs="仿宋"/>
        </w:rPr>
        <w:t>运输、工时、保险、税金、安装、调试与试运行、培训、保修、售后服务费、配套费、计量费</w:t>
      </w:r>
      <w:r>
        <w:rPr>
          <w:rFonts w:hint="eastAsia" w:ascii="仿宋" w:hAnsi="仿宋" w:eastAsia="仿宋" w:cs="仿宋"/>
          <w:bCs/>
          <w:kern w:val="2"/>
        </w:rPr>
        <w:t>等一切与之相关的所有费用都需包含在报价中。</w:t>
      </w:r>
    </w:p>
    <w:p>
      <w:pPr>
        <w:rPr>
          <w:rFonts w:ascii="仿宋" w:hAnsi="仿宋" w:eastAsia="仿宋" w:cs="仿宋"/>
        </w:rPr>
      </w:pPr>
      <w:r>
        <w:rPr>
          <w:rFonts w:hint="eastAsia" w:ascii="仿宋" w:hAnsi="仿宋" w:eastAsia="仿宋" w:cs="仿宋"/>
        </w:rPr>
        <w:br w:type="page"/>
      </w:r>
    </w:p>
    <w:p>
      <w:pPr>
        <w:pStyle w:val="2"/>
        <w:pageBreakBefore/>
        <w:spacing w:line="560" w:lineRule="exact"/>
        <w:rPr>
          <w:rFonts w:ascii="仿宋" w:hAnsi="仿宋" w:eastAsia="仿宋" w:cs="仿宋"/>
        </w:rPr>
        <w:sectPr>
          <w:pgSz w:w="11906" w:h="16838"/>
          <w:pgMar w:top="1440" w:right="1758" w:bottom="1440" w:left="1758" w:header="851" w:footer="851" w:gutter="0"/>
          <w:cols w:space="720" w:num="1"/>
          <w:docGrid w:linePitch="312" w:charSpace="0"/>
        </w:sectPr>
      </w:pPr>
    </w:p>
    <w:p>
      <w:pPr>
        <w:pStyle w:val="2"/>
        <w:pageBreakBefore/>
        <w:spacing w:line="560" w:lineRule="exact"/>
        <w:rPr>
          <w:rFonts w:ascii="仿宋" w:hAnsi="仿宋" w:eastAsia="仿宋" w:cs="仿宋"/>
        </w:rPr>
      </w:pPr>
      <w:bookmarkStart w:id="97" w:name="_Toc2554"/>
      <w:bookmarkStart w:id="98" w:name="_Toc8231"/>
      <w:bookmarkStart w:id="99" w:name="_Toc24420"/>
      <w:bookmarkStart w:id="100" w:name="_Toc5314"/>
      <w:bookmarkStart w:id="101" w:name="_Toc7679"/>
      <w:bookmarkStart w:id="102" w:name="_Toc1288"/>
      <w:bookmarkStart w:id="103" w:name="_Toc14658"/>
      <w:bookmarkStart w:id="104" w:name="_Toc14277"/>
      <w:r>
        <w:rPr>
          <w:rFonts w:hint="eastAsia" w:ascii="仿宋" w:hAnsi="仿宋" w:eastAsia="仿宋" w:cs="仿宋"/>
        </w:rPr>
        <w:t>第三章  投标人须知</w:t>
      </w:r>
      <w:bookmarkEnd w:id="97"/>
      <w:bookmarkEnd w:id="98"/>
      <w:bookmarkEnd w:id="99"/>
      <w:bookmarkEnd w:id="100"/>
      <w:bookmarkEnd w:id="101"/>
      <w:bookmarkEnd w:id="102"/>
      <w:bookmarkEnd w:id="103"/>
      <w:bookmarkEnd w:id="104"/>
    </w:p>
    <w:p>
      <w:pPr>
        <w:pStyle w:val="4"/>
        <w:snapToGrid w:val="0"/>
        <w:spacing w:before="0" w:after="0" w:line="240" w:lineRule="auto"/>
        <w:ind w:firstLine="0" w:firstLineChars="0"/>
        <w:textAlignment w:val="baseline"/>
        <w:rPr>
          <w:rFonts w:ascii="仿宋" w:hAnsi="仿宋" w:eastAsia="仿宋" w:cs="仿宋"/>
        </w:rPr>
      </w:pPr>
      <w:bookmarkStart w:id="105" w:name="_Toc486423882"/>
      <w:bookmarkStart w:id="106" w:name="_Toc28548"/>
      <w:bookmarkStart w:id="107" w:name="_Toc5067"/>
      <w:bookmarkStart w:id="108" w:name="_Toc20976"/>
      <w:bookmarkStart w:id="109" w:name="_Toc11925"/>
      <w:bookmarkStart w:id="110" w:name="_Toc493956032"/>
      <w:bookmarkStart w:id="111" w:name="_Toc2600"/>
      <w:bookmarkStart w:id="112" w:name="_Toc7967"/>
      <w:bookmarkStart w:id="113" w:name="_Toc10688"/>
      <w:bookmarkStart w:id="114" w:name="_Toc5661"/>
      <w:bookmarkStart w:id="115" w:name="_Toc493956033"/>
      <w:r>
        <w:rPr>
          <w:rFonts w:hint="eastAsia" w:ascii="仿宋" w:hAnsi="仿宋" w:eastAsia="仿宋" w:cs="仿宋"/>
        </w:rPr>
        <w:t>前附表</w:t>
      </w:r>
      <w:bookmarkEnd w:id="105"/>
      <w:bookmarkEnd w:id="106"/>
      <w:bookmarkEnd w:id="107"/>
      <w:bookmarkEnd w:id="108"/>
      <w:bookmarkEnd w:id="109"/>
      <w:bookmarkEnd w:id="110"/>
      <w:bookmarkEnd w:id="111"/>
      <w:bookmarkEnd w:id="112"/>
      <w:bookmarkEnd w:id="113"/>
      <w:bookmarkEnd w:id="114"/>
    </w:p>
    <w:tbl>
      <w:tblPr>
        <w:tblStyle w:val="24"/>
        <w:tblW w:w="91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785"/>
        <w:gridCol w:w="68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top w:val="double" w:color="auto" w:sz="4" w:space="0"/>
              <w:left w:val="double" w:color="auto" w:sz="4" w:space="0"/>
            </w:tcBorders>
            <w:vAlign w:val="center"/>
          </w:tcPr>
          <w:p>
            <w:pPr>
              <w:snapToGrid w:val="0"/>
              <w:spacing w:line="300" w:lineRule="exact"/>
              <w:ind w:left="-76" w:leftChars="-36" w:right="-100"/>
              <w:jc w:val="center"/>
              <w:textAlignment w:val="baseline"/>
              <w:rPr>
                <w:rFonts w:ascii="仿宋" w:hAnsi="仿宋" w:eastAsia="仿宋" w:cs="仿宋"/>
                <w:b/>
                <w:bCs/>
                <w:sz w:val="24"/>
                <w:szCs w:val="24"/>
              </w:rPr>
            </w:pPr>
            <w:r>
              <w:rPr>
                <w:rFonts w:hint="eastAsia" w:ascii="仿宋" w:hAnsi="仿宋" w:eastAsia="仿宋" w:cs="仿宋"/>
                <w:b/>
                <w:bCs/>
                <w:sz w:val="24"/>
                <w:szCs w:val="24"/>
              </w:rPr>
              <w:t>序号</w:t>
            </w:r>
          </w:p>
        </w:tc>
        <w:tc>
          <w:tcPr>
            <w:tcW w:w="1785" w:type="dxa"/>
            <w:tcBorders>
              <w:top w:val="double" w:color="auto" w:sz="4" w:space="0"/>
            </w:tcBorders>
            <w:vAlign w:val="center"/>
          </w:tcPr>
          <w:p>
            <w:pPr>
              <w:snapToGrid w:val="0"/>
              <w:spacing w:line="300" w:lineRule="exact"/>
              <w:jc w:val="center"/>
              <w:textAlignment w:val="baseline"/>
              <w:rPr>
                <w:rFonts w:ascii="仿宋" w:hAnsi="仿宋" w:eastAsia="仿宋" w:cs="仿宋"/>
                <w:b/>
                <w:bCs/>
                <w:sz w:val="24"/>
                <w:szCs w:val="24"/>
              </w:rPr>
            </w:pPr>
            <w:r>
              <w:rPr>
                <w:rFonts w:hint="eastAsia" w:ascii="仿宋" w:hAnsi="仿宋" w:eastAsia="仿宋" w:cs="仿宋"/>
                <w:b/>
                <w:bCs/>
                <w:sz w:val="24"/>
                <w:szCs w:val="24"/>
              </w:rPr>
              <w:t>须知项目</w:t>
            </w:r>
          </w:p>
        </w:tc>
        <w:tc>
          <w:tcPr>
            <w:tcW w:w="6810" w:type="dxa"/>
            <w:tcBorders>
              <w:top w:val="double" w:color="auto" w:sz="4" w:space="0"/>
              <w:right w:val="double" w:color="auto" w:sz="4" w:space="0"/>
            </w:tcBorders>
            <w:vAlign w:val="center"/>
          </w:tcPr>
          <w:p>
            <w:pPr>
              <w:snapToGrid w:val="0"/>
              <w:spacing w:line="300" w:lineRule="exact"/>
              <w:jc w:val="center"/>
              <w:textAlignment w:val="baseline"/>
              <w:rPr>
                <w:rFonts w:ascii="仿宋" w:hAnsi="仿宋" w:eastAsia="仿宋" w:cs="仿宋"/>
                <w:b/>
                <w:bCs/>
                <w:sz w:val="24"/>
                <w:szCs w:val="24"/>
              </w:rPr>
            </w:pPr>
            <w:r>
              <w:rPr>
                <w:rFonts w:hint="eastAsia" w:ascii="仿宋" w:hAnsi="仿宋" w:eastAsia="仿宋" w:cs="仿宋"/>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项目名称</w:t>
            </w:r>
          </w:p>
        </w:tc>
        <w:tc>
          <w:tcPr>
            <w:tcW w:w="6810" w:type="dxa"/>
            <w:tcBorders>
              <w:right w:val="double" w:color="auto" w:sz="4" w:space="0"/>
            </w:tcBorders>
            <w:vAlign w:val="center"/>
          </w:tcPr>
          <w:p>
            <w:pPr>
              <w:snapToGrid w:val="0"/>
              <w:spacing w:line="300" w:lineRule="exact"/>
              <w:ind w:left="-113" w:leftChars="-54" w:right="-107"/>
              <w:textAlignment w:val="baseline"/>
              <w:rPr>
                <w:rFonts w:ascii="仿宋" w:hAnsi="仿宋" w:eastAsia="仿宋" w:cs="仿宋"/>
                <w:sz w:val="24"/>
                <w:szCs w:val="24"/>
              </w:rPr>
            </w:pPr>
            <w:r>
              <w:rPr>
                <w:rFonts w:hint="eastAsia" w:ascii="仿宋" w:hAnsi="仿宋" w:eastAsia="仿宋" w:cs="仿宋"/>
                <w:sz w:val="24"/>
                <w:szCs w:val="24"/>
              </w:rPr>
              <w:t>景宁畲族自治县环卫清洁服务有限公司生活垃圾焚烧发电厂飞灰处置服务项目</w:t>
            </w:r>
            <w:r>
              <w:rPr>
                <w:rFonts w:hint="eastAsia" w:ascii="仿宋" w:hAnsi="仿宋" w:eastAsia="仿宋" w:cs="仿宋"/>
                <w:sz w:val="24"/>
                <w:szCs w:val="24"/>
                <w:lang w:val="en-US" w:eastAsia="zh-CN"/>
              </w:rPr>
              <w:t>(第二次）</w:t>
            </w:r>
            <w:r>
              <w:rPr>
                <w:rFonts w:hint="eastAsia" w:ascii="仿宋" w:hAnsi="仿宋" w:eastAsia="仿宋" w:cs="仿宋"/>
                <w:sz w:val="24"/>
                <w:szCs w:val="24"/>
              </w:rPr>
              <w:t>（非政府采购项目）</w:t>
            </w:r>
          </w:p>
          <w:p>
            <w:pPr>
              <w:snapToGrid w:val="0"/>
              <w:spacing w:line="300" w:lineRule="exact"/>
              <w:ind w:left="-113" w:leftChars="-54" w:right="-107"/>
              <w:textAlignment w:val="baseline"/>
              <w:rPr>
                <w:rFonts w:ascii="仿宋" w:hAnsi="仿宋" w:eastAsia="仿宋" w:cs="仿宋"/>
                <w:sz w:val="24"/>
                <w:szCs w:val="24"/>
              </w:rPr>
            </w:pPr>
            <w:r>
              <w:rPr>
                <w:rFonts w:hint="eastAsia" w:ascii="仿宋" w:hAnsi="仿宋" w:eastAsia="仿宋" w:cs="仿宋"/>
                <w:sz w:val="24"/>
                <w:szCs w:val="24"/>
              </w:rPr>
              <w:t>[采购编号：兴华招采（</w:t>
            </w:r>
            <w:r>
              <w:rPr>
                <w:rFonts w:hint="eastAsia" w:ascii="仿宋" w:hAnsi="仿宋" w:eastAsia="仿宋" w:cs="仿宋"/>
                <w:sz w:val="24"/>
                <w:szCs w:val="24"/>
                <w:lang w:eastAsia="zh-CN"/>
              </w:rPr>
              <w:t>2024</w:t>
            </w: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2</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采购方式</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3</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采购人</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u w:val="single" w:color="000000"/>
              </w:rPr>
            </w:pPr>
            <w:r>
              <w:rPr>
                <w:rFonts w:hint="eastAsia" w:ascii="仿宋" w:hAnsi="仿宋" w:eastAsia="仿宋" w:cs="仿宋"/>
                <w:sz w:val="24"/>
                <w:szCs w:val="24"/>
              </w:rPr>
              <w:t>景宁畲族自治县环卫清洁服务有限公司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4</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采购代理机构</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浙江丽水兴华工程管理有限公司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5</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投标有效期</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投标截止日后90天内有效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6</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投标文件份数</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资格审查文件、资信商务及技术文件、报价文件各正本一份、副本肆份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7</w:t>
            </w:r>
          </w:p>
        </w:tc>
        <w:tc>
          <w:tcPr>
            <w:tcW w:w="1785" w:type="dxa"/>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招标文件质疑</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质疑期限为自招标公告期限届满之日（招标公告届满日为招标公告发布后的第6个工作日）起7个工作日内，以书面形式向采购人和采购代理机构一次性提出质疑。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8</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招标文件澄清或修改</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提交投标文件截止时间15日前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9</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投标文件提交截止时间及地点</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提交截止时间：</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提交地点：景宁畲族自治县政府采购中心（景宁畲族自治县红星街道廊桥步行街26号三号楼一楼）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10</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开标时间及地点</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开标时间：</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1</w:t>
            </w:r>
            <w:r>
              <w:rPr>
                <w:rFonts w:hint="eastAsia" w:ascii="仿宋" w:hAnsi="仿宋" w:eastAsia="仿宋" w:cs="仿宋"/>
                <w:sz w:val="24"/>
                <w:szCs w:val="24"/>
              </w:rPr>
              <w:t>日9：</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开标地点：景宁畲族自治县政府采购中心（景宁畲族自治县红星街道廊桥步行街26号三号楼一楼）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11</w:t>
            </w:r>
          </w:p>
        </w:tc>
        <w:tc>
          <w:tcPr>
            <w:tcW w:w="1785" w:type="dxa"/>
            <w:vAlign w:val="center"/>
          </w:tcPr>
          <w:p>
            <w:pPr>
              <w:snapToGrid w:val="0"/>
              <w:spacing w:line="300" w:lineRule="exact"/>
              <w:ind w:left="-113" w:leftChars="-54" w:right="-107"/>
              <w:jc w:val="center"/>
              <w:textAlignment w:val="baseline"/>
              <w:rPr>
                <w:rFonts w:ascii="仿宋" w:hAnsi="仿宋" w:eastAsia="仿宋" w:cs="仿宋"/>
                <w:color w:val="auto"/>
                <w:sz w:val="24"/>
                <w:szCs w:val="24"/>
              </w:rPr>
            </w:pPr>
            <w:r>
              <w:rPr>
                <w:rFonts w:hint="eastAsia" w:ascii="仿宋" w:hAnsi="仿宋" w:eastAsia="仿宋" w:cs="仿宋"/>
                <w:color w:val="auto"/>
                <w:sz w:val="24"/>
                <w:szCs w:val="24"/>
              </w:rPr>
              <w:t>履约保证金</w:t>
            </w:r>
          </w:p>
        </w:tc>
        <w:tc>
          <w:tcPr>
            <w:tcW w:w="6810" w:type="dxa"/>
            <w:tcBorders>
              <w:right w:val="double" w:color="auto" w:sz="4" w:space="0"/>
            </w:tcBorders>
            <w:vAlign w:val="center"/>
          </w:tcPr>
          <w:p>
            <w:pPr>
              <w:snapToGrid w:val="0"/>
              <w:spacing w:line="300" w:lineRule="exact"/>
              <w:textAlignment w:val="baseline"/>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本项目不需要缴纳履约保证金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12</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评审办法和细则</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采用综合评分法，详见招标文件“第六章评审办法和细则”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13</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中标结果公告及中标通知书</w:t>
            </w:r>
          </w:p>
        </w:tc>
        <w:tc>
          <w:tcPr>
            <w:tcW w:w="6810" w:type="dxa"/>
            <w:tcBorders>
              <w:right w:val="double" w:color="auto" w:sz="4" w:space="0"/>
            </w:tcBorders>
            <w:vAlign w:val="center"/>
          </w:tcPr>
          <w:p>
            <w:pPr>
              <w:snapToGrid w:val="0"/>
              <w:spacing w:line="300" w:lineRule="exact"/>
              <w:jc w:val="left"/>
              <w:textAlignment w:val="baseline"/>
              <w:rPr>
                <w:rFonts w:ascii="仿宋" w:hAnsi="仿宋" w:eastAsia="仿宋" w:cs="仿宋"/>
                <w:sz w:val="24"/>
                <w:szCs w:val="24"/>
              </w:rPr>
            </w:pPr>
            <w:r>
              <w:rPr>
                <w:rFonts w:hint="eastAsia" w:ascii="仿宋" w:hAnsi="仿宋" w:eastAsia="仿宋" w:cs="仿宋"/>
                <w:sz w:val="24"/>
                <w:szCs w:val="24"/>
              </w:rPr>
              <w:t>中标结果公告在浙江政府采购网（http://zfcg.czt.zj.gov.cn/）、丽水市公共资源交易网（</w:t>
            </w:r>
            <w:r>
              <w:rPr>
                <w:rFonts w:ascii="仿宋" w:hAnsi="仿宋" w:eastAsia="仿宋" w:cs="仿宋"/>
                <w:sz w:val="24"/>
                <w:szCs w:val="24"/>
              </w:rPr>
              <w:t>lssggzy.lishui.gov.cn/lsweb/</w:t>
            </w:r>
            <w:r>
              <w:rPr>
                <w:rFonts w:hint="eastAsia" w:ascii="仿宋" w:hAnsi="仿宋" w:eastAsia="仿宋" w:cs="仿宋"/>
                <w:sz w:val="24"/>
                <w:szCs w:val="24"/>
              </w:rPr>
              <w:t>）等媒体上发布，并发布中标通知书。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14</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签订合同</w:t>
            </w:r>
          </w:p>
        </w:tc>
        <w:tc>
          <w:tcPr>
            <w:tcW w:w="6810" w:type="dxa"/>
            <w:tcBorders>
              <w:right w:val="double" w:color="auto" w:sz="4" w:space="0"/>
            </w:tcBorders>
            <w:vAlign w:val="center"/>
          </w:tcPr>
          <w:p>
            <w:pPr>
              <w:snapToGrid w:val="0"/>
              <w:spacing w:line="300" w:lineRule="exact"/>
              <w:jc w:val="left"/>
              <w:textAlignment w:val="baseline"/>
              <w:rPr>
                <w:rFonts w:ascii="仿宋" w:hAnsi="仿宋" w:eastAsia="仿宋" w:cs="仿宋"/>
                <w:sz w:val="24"/>
                <w:szCs w:val="24"/>
              </w:rPr>
            </w:pPr>
            <w:r>
              <w:rPr>
                <w:rFonts w:hint="eastAsia" w:ascii="仿宋" w:hAnsi="仿宋" w:eastAsia="仿宋" w:cs="仿宋"/>
                <w:sz w:val="24"/>
                <w:szCs w:val="24"/>
              </w:rPr>
              <w:t>成交通知书发出之日起30日内，按照</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文件</w:t>
            </w:r>
            <w:r>
              <w:rPr>
                <w:rFonts w:hint="eastAsia" w:ascii="仿宋" w:hAnsi="仿宋" w:eastAsia="仿宋" w:cs="仿宋"/>
                <w:sz w:val="24"/>
                <w:szCs w:val="24"/>
              </w:rPr>
              <w:t>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15</w:t>
            </w:r>
          </w:p>
        </w:tc>
        <w:tc>
          <w:tcPr>
            <w:tcW w:w="1785" w:type="dxa"/>
            <w:vAlign w:val="center"/>
          </w:tcPr>
          <w:p>
            <w:pPr>
              <w:snapToGrid w:val="0"/>
              <w:spacing w:line="30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招标文件解释</w:t>
            </w:r>
          </w:p>
        </w:tc>
        <w:tc>
          <w:tcPr>
            <w:tcW w:w="6810" w:type="dxa"/>
            <w:tcBorders>
              <w:right w:val="double" w:color="auto" w:sz="4" w:space="0"/>
            </w:tcBorders>
            <w:vAlign w:val="center"/>
          </w:tcPr>
          <w:p>
            <w:pPr>
              <w:snapToGrid w:val="0"/>
              <w:spacing w:line="300" w:lineRule="exact"/>
              <w:textAlignment w:val="baseline"/>
              <w:rPr>
                <w:rFonts w:ascii="仿宋" w:hAnsi="仿宋" w:eastAsia="仿宋" w:cs="仿宋"/>
                <w:sz w:val="24"/>
                <w:szCs w:val="24"/>
              </w:rPr>
            </w:pPr>
            <w:r>
              <w:rPr>
                <w:rFonts w:hint="eastAsia" w:ascii="仿宋" w:hAnsi="仿宋" w:eastAsia="仿宋" w:cs="仿宋"/>
                <w:sz w:val="24"/>
                <w:szCs w:val="24"/>
              </w:rPr>
              <w:t>本项目招标文件的解释权属于浙江丽水兴华工程管理有限公司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87" w:type="dxa"/>
            <w:tcBorders>
              <w:left w:val="double" w:color="auto" w:sz="4" w:space="0"/>
            </w:tcBorders>
            <w:vAlign w:val="center"/>
          </w:tcPr>
          <w:p>
            <w:pPr>
              <w:snapToGrid w:val="0"/>
              <w:spacing w:line="280" w:lineRule="exact"/>
              <w:jc w:val="center"/>
              <w:textAlignment w:val="baseline"/>
              <w:rPr>
                <w:rFonts w:ascii="仿宋" w:hAnsi="仿宋" w:eastAsia="仿宋" w:cs="仿宋"/>
                <w:color w:val="auto"/>
                <w:sz w:val="24"/>
                <w:szCs w:val="24"/>
              </w:rPr>
            </w:pPr>
            <w:r>
              <w:rPr>
                <w:rFonts w:hint="eastAsia" w:ascii="仿宋" w:hAnsi="仿宋" w:eastAsia="仿宋" w:cs="仿宋"/>
                <w:color w:val="auto"/>
                <w:sz w:val="24"/>
                <w:szCs w:val="24"/>
              </w:rPr>
              <w:t>16</w:t>
            </w:r>
          </w:p>
        </w:tc>
        <w:tc>
          <w:tcPr>
            <w:tcW w:w="1785" w:type="dxa"/>
            <w:vAlign w:val="center"/>
          </w:tcPr>
          <w:p>
            <w:pPr>
              <w:snapToGrid w:val="0"/>
              <w:spacing w:line="280" w:lineRule="exact"/>
              <w:ind w:left="-113" w:leftChars="-54" w:right="-107"/>
              <w:jc w:val="center"/>
              <w:textAlignment w:val="baseline"/>
              <w:rPr>
                <w:rFonts w:ascii="仿宋" w:hAnsi="仿宋" w:eastAsia="仿宋" w:cs="仿宋"/>
                <w:color w:val="auto"/>
                <w:sz w:val="24"/>
                <w:szCs w:val="24"/>
              </w:rPr>
            </w:pPr>
            <w:r>
              <w:rPr>
                <w:rFonts w:hint="eastAsia" w:ascii="仿宋" w:hAnsi="仿宋" w:eastAsia="仿宋" w:cs="仿宋"/>
                <w:color w:val="auto"/>
                <w:sz w:val="24"/>
                <w:szCs w:val="24"/>
              </w:rPr>
              <w:t>招标需求及投标人资格质疑</w:t>
            </w:r>
          </w:p>
        </w:tc>
        <w:tc>
          <w:tcPr>
            <w:tcW w:w="6810" w:type="dxa"/>
            <w:tcBorders>
              <w:right w:val="double" w:color="auto" w:sz="4" w:space="0"/>
            </w:tcBorders>
            <w:vAlign w:val="center"/>
          </w:tcPr>
          <w:p>
            <w:pPr>
              <w:snapToGrid w:val="0"/>
              <w:jc w:val="left"/>
              <w:textAlignment w:val="baseline"/>
              <w:rPr>
                <w:rFonts w:ascii="仿宋" w:hAnsi="仿宋" w:eastAsia="仿宋" w:cs="仿宋"/>
                <w:color w:val="auto"/>
                <w:sz w:val="24"/>
                <w:szCs w:val="24"/>
              </w:rPr>
            </w:pPr>
            <w:r>
              <w:rPr>
                <w:rFonts w:hint="eastAsia" w:ascii="仿宋" w:hAnsi="仿宋" w:eastAsia="仿宋" w:cs="仿宋"/>
                <w:color w:val="auto"/>
                <w:sz w:val="24"/>
                <w:szCs w:val="24"/>
              </w:rPr>
              <w:t xml:space="preserve">单位：景宁畲族自治县环卫清洁服务有限公司     </w:t>
            </w:r>
          </w:p>
          <w:p>
            <w:pPr>
              <w:snapToGrid w:val="0"/>
              <w:jc w:val="left"/>
              <w:textAlignment w:val="baseline"/>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负责人：兰杜勇</w:t>
            </w:r>
            <w:r>
              <w:rPr>
                <w:rFonts w:hint="eastAsia" w:ascii="仿宋" w:hAnsi="仿宋" w:eastAsia="仿宋" w:cs="仿宋"/>
                <w:color w:val="auto"/>
                <w:sz w:val="24"/>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lang w:eastAsia="zh-CN"/>
              </w:rPr>
              <w:t>0578-5087880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snapToGrid w:val="0"/>
              <w:spacing w:line="280" w:lineRule="exact"/>
              <w:jc w:val="center"/>
              <w:textAlignment w:val="baseline"/>
              <w:rPr>
                <w:rFonts w:ascii="仿宋" w:hAnsi="仿宋" w:eastAsia="仿宋" w:cs="仿宋"/>
                <w:sz w:val="24"/>
                <w:szCs w:val="24"/>
              </w:rPr>
            </w:pPr>
            <w:r>
              <w:rPr>
                <w:rFonts w:hint="eastAsia" w:ascii="仿宋" w:hAnsi="仿宋" w:eastAsia="仿宋" w:cs="仿宋"/>
                <w:sz w:val="24"/>
                <w:szCs w:val="24"/>
              </w:rPr>
              <w:t>17</w:t>
            </w:r>
          </w:p>
        </w:tc>
        <w:tc>
          <w:tcPr>
            <w:tcW w:w="1785" w:type="dxa"/>
            <w:vAlign w:val="center"/>
          </w:tcPr>
          <w:p>
            <w:pPr>
              <w:snapToGrid w:val="0"/>
              <w:spacing w:line="28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其他事项质疑</w:t>
            </w:r>
          </w:p>
        </w:tc>
        <w:tc>
          <w:tcPr>
            <w:tcW w:w="6810" w:type="dxa"/>
            <w:tcBorders>
              <w:right w:val="double" w:color="auto" w:sz="4" w:space="0"/>
            </w:tcBorders>
            <w:vAlign w:val="center"/>
          </w:tcPr>
          <w:p>
            <w:pPr>
              <w:snapToGrid w:val="0"/>
              <w:spacing w:line="280" w:lineRule="exact"/>
              <w:jc w:val="left"/>
              <w:textAlignment w:val="baseline"/>
              <w:rPr>
                <w:rFonts w:ascii="仿宋" w:hAnsi="仿宋" w:eastAsia="仿宋" w:cs="仿宋"/>
                <w:sz w:val="24"/>
                <w:szCs w:val="24"/>
              </w:rPr>
            </w:pPr>
            <w:r>
              <w:rPr>
                <w:rFonts w:hint="eastAsia" w:ascii="仿宋" w:hAnsi="仿宋" w:eastAsia="仿宋" w:cs="仿宋"/>
                <w:sz w:val="24"/>
                <w:szCs w:val="24"/>
              </w:rPr>
              <w:t>单位：浙江丽水兴华工程管理有限公司    负责人：洪跃华</w:t>
            </w:r>
          </w:p>
          <w:p>
            <w:pPr>
              <w:snapToGrid w:val="0"/>
              <w:spacing w:line="280" w:lineRule="exact"/>
              <w:jc w:val="left"/>
              <w:textAlignment w:val="baseline"/>
              <w:rPr>
                <w:rFonts w:ascii="仿宋" w:hAnsi="仿宋" w:eastAsia="仿宋" w:cs="仿宋"/>
                <w:sz w:val="24"/>
                <w:szCs w:val="24"/>
              </w:rPr>
            </w:pPr>
            <w:r>
              <w:rPr>
                <w:rFonts w:hint="eastAsia" w:ascii="仿宋" w:hAnsi="仿宋" w:eastAsia="仿宋" w:cs="仿宋"/>
                <w:sz w:val="24"/>
                <w:szCs w:val="24"/>
              </w:rPr>
              <w:t>联系电话：0578-2998875     传真： 0578-2998875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bottom w:val="double" w:color="auto" w:sz="4" w:space="0"/>
            </w:tcBorders>
            <w:vAlign w:val="center"/>
          </w:tcPr>
          <w:p>
            <w:pPr>
              <w:snapToGrid w:val="0"/>
              <w:spacing w:line="280" w:lineRule="exact"/>
              <w:jc w:val="center"/>
              <w:textAlignment w:val="baseline"/>
              <w:rPr>
                <w:rFonts w:ascii="仿宋" w:hAnsi="仿宋" w:eastAsia="仿宋" w:cs="仿宋"/>
                <w:sz w:val="24"/>
                <w:szCs w:val="24"/>
              </w:rPr>
            </w:pPr>
            <w:r>
              <w:rPr>
                <w:rFonts w:hint="eastAsia" w:ascii="仿宋" w:hAnsi="仿宋" w:eastAsia="仿宋" w:cs="仿宋"/>
                <w:sz w:val="24"/>
                <w:szCs w:val="24"/>
              </w:rPr>
              <w:t>18</w:t>
            </w:r>
          </w:p>
        </w:tc>
        <w:tc>
          <w:tcPr>
            <w:tcW w:w="1785" w:type="dxa"/>
            <w:tcBorders>
              <w:bottom w:val="double" w:color="auto" w:sz="4" w:space="0"/>
            </w:tcBorders>
            <w:vAlign w:val="center"/>
          </w:tcPr>
          <w:p>
            <w:pPr>
              <w:snapToGrid w:val="0"/>
              <w:spacing w:line="280" w:lineRule="exact"/>
              <w:ind w:left="-113" w:leftChars="-54" w:right="-107"/>
              <w:jc w:val="center"/>
              <w:textAlignment w:val="baseline"/>
              <w:rPr>
                <w:rFonts w:ascii="仿宋" w:hAnsi="仿宋" w:eastAsia="仿宋" w:cs="仿宋"/>
                <w:sz w:val="24"/>
                <w:szCs w:val="24"/>
              </w:rPr>
            </w:pPr>
            <w:r>
              <w:rPr>
                <w:rFonts w:hint="eastAsia" w:ascii="仿宋" w:hAnsi="仿宋" w:eastAsia="仿宋" w:cs="仿宋"/>
                <w:sz w:val="24"/>
                <w:szCs w:val="24"/>
              </w:rPr>
              <w:t>发布媒体</w:t>
            </w:r>
          </w:p>
        </w:tc>
        <w:tc>
          <w:tcPr>
            <w:tcW w:w="6810" w:type="dxa"/>
            <w:tcBorders>
              <w:bottom w:val="double" w:color="auto" w:sz="4" w:space="0"/>
              <w:right w:val="double" w:color="auto" w:sz="4" w:space="0"/>
            </w:tcBorders>
            <w:vAlign w:val="center"/>
          </w:tcPr>
          <w:p>
            <w:pPr>
              <w:snapToGrid w:val="0"/>
              <w:spacing w:line="280" w:lineRule="exact"/>
              <w:ind w:left="-107" w:leftChars="-51" w:right="-39"/>
              <w:jc w:val="left"/>
              <w:textAlignment w:val="baseline"/>
              <w:rPr>
                <w:rFonts w:ascii="仿宋" w:hAnsi="仿宋" w:eastAsia="仿宋" w:cs="仿宋"/>
                <w:sz w:val="24"/>
                <w:szCs w:val="24"/>
              </w:rPr>
            </w:pPr>
            <w:r>
              <w:rPr>
                <w:rFonts w:hint="eastAsia" w:ascii="仿宋" w:hAnsi="仿宋" w:eastAsia="仿宋" w:cs="仿宋"/>
                <w:sz w:val="24"/>
                <w:szCs w:val="24"/>
              </w:rPr>
              <w:t>丽水市公共资源交易网（</w:t>
            </w:r>
            <w:r>
              <w:rPr>
                <w:rFonts w:ascii="仿宋" w:hAnsi="仿宋" w:eastAsia="仿宋" w:cs="仿宋"/>
                <w:sz w:val="24"/>
                <w:szCs w:val="24"/>
              </w:rPr>
              <w:t>lssggzy.lishui.gov.cn/lsweb/</w:t>
            </w:r>
            <w:r>
              <w:rPr>
                <w:rFonts w:hint="eastAsia" w:ascii="仿宋" w:hAnsi="仿宋" w:eastAsia="仿宋" w:cs="仿宋"/>
                <w:sz w:val="24"/>
                <w:szCs w:val="24"/>
              </w:rPr>
              <w:t>）、浙江政府采购网（zfcg.czt.zj.gov.cn/）等。</w:t>
            </w:r>
          </w:p>
        </w:tc>
      </w:tr>
    </w:tbl>
    <w:p>
      <w:pPr>
        <w:snapToGrid w:val="0"/>
        <w:textAlignment w:val="baseline"/>
        <w:rPr>
          <w:rFonts w:ascii="仿宋" w:hAnsi="仿宋" w:eastAsia="仿宋" w:cs="仿宋"/>
          <w:sz w:val="20"/>
        </w:rPr>
        <w:sectPr>
          <w:pgSz w:w="11906" w:h="16838"/>
          <w:pgMar w:top="1440" w:right="1758" w:bottom="1440" w:left="1758" w:header="851" w:footer="851" w:gutter="0"/>
          <w:cols w:space="720" w:num="1"/>
          <w:docGrid w:linePitch="312" w:charSpace="0"/>
        </w:sectPr>
      </w:pPr>
    </w:p>
    <w:p>
      <w:pPr>
        <w:pStyle w:val="4"/>
        <w:snapToGrid w:val="0"/>
        <w:spacing w:before="200" w:after="200"/>
        <w:ind w:firstLine="0" w:firstLineChars="0"/>
        <w:textAlignment w:val="baseline"/>
        <w:rPr>
          <w:rFonts w:ascii="仿宋" w:hAnsi="仿宋" w:eastAsia="仿宋" w:cs="仿宋"/>
          <w:sz w:val="32"/>
          <w:szCs w:val="32"/>
        </w:rPr>
      </w:pPr>
      <w:bookmarkStart w:id="116" w:name="_Toc8523"/>
      <w:bookmarkStart w:id="117" w:name="_Toc24756"/>
      <w:bookmarkStart w:id="118" w:name="_Toc10322"/>
      <w:bookmarkStart w:id="119" w:name="_Toc22391"/>
      <w:bookmarkStart w:id="120" w:name="_Toc722"/>
      <w:bookmarkStart w:id="121" w:name="_Toc972"/>
      <w:bookmarkStart w:id="122" w:name="_Toc23750"/>
      <w:bookmarkStart w:id="123" w:name="_Toc27495"/>
      <w:r>
        <w:rPr>
          <w:rFonts w:hint="eastAsia" w:ascii="仿宋" w:hAnsi="仿宋" w:eastAsia="仿宋" w:cs="仿宋"/>
          <w:sz w:val="32"/>
          <w:szCs w:val="32"/>
        </w:rPr>
        <w:t>一、总则</w:t>
      </w:r>
      <w:bookmarkEnd w:id="115"/>
      <w:bookmarkEnd w:id="116"/>
      <w:bookmarkEnd w:id="117"/>
      <w:bookmarkEnd w:id="118"/>
      <w:bookmarkEnd w:id="119"/>
      <w:bookmarkEnd w:id="120"/>
      <w:bookmarkEnd w:id="121"/>
      <w:bookmarkEnd w:id="122"/>
      <w:bookmarkEnd w:id="123"/>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1. 适用范围</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1.1 招标文件适用于本次所述项目的采购行为（法律、法规另有规定的，从其规定）。</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2.定义</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2.1.1 “采购人”系指景宁畲族自治县环卫清洁服务有限公司。</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2.1.2 “采购代理机构”系指浙江丽水兴华工程管理有限公司。</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2.1.3 “投标人”系指符合本项目投标人应具备的资格要求的投标人，并报名参与项目投标的投标人。</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2.1.4 “负责人”系指法人企业的法定负责人，或其他组织为法律、行政法规规定代表单位行使职权的主要负责人，或自然人本人。</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2.1.5 “合同”系指采购人与中标人双方签署的规定双方权利与义务的协议，以及所有附件、附录、招标文件和</w:t>
      </w:r>
      <w:r>
        <w:rPr>
          <w:rFonts w:hint="eastAsia" w:ascii="仿宋" w:hAnsi="仿宋" w:eastAsia="仿宋" w:cs="仿宋"/>
          <w:kern w:val="0"/>
          <w:sz w:val="24"/>
          <w:szCs w:val="24"/>
        </w:rPr>
        <w:t>投标文件</w:t>
      </w:r>
      <w:r>
        <w:rPr>
          <w:rFonts w:hint="eastAsia" w:ascii="仿宋" w:hAnsi="仿宋" w:eastAsia="仿宋" w:cs="仿宋"/>
          <w:sz w:val="24"/>
          <w:szCs w:val="24"/>
        </w:rPr>
        <w:t>所提到的构成合同的所有文件。</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2.1.6 “产品”系指投标人按招标文件规定，须向采购人提供的一切产品（包括：虚拟产品），以及产品相关的保险、税金、备品备件、附件、耗材、工具、手册及其它有关技术资料和材料等。</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2.1.7 “服务”系指投标人按招标文件规定应承担的送货上门、安装、调试、技术协助、校准、培训、技术指导以及其他类似的附随义务。</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2.1.8 “▲”系指实质性要求条款；“★”系指项目关键核心产品。</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3.投标人应具备资格条件</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3.1 符合本文件第一章第“六”条的规定；</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3.2 是否按招标文件要求提交投标保证金；</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3.3 投标人应遵守有关的法律、法规和规章条例。</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4.联合体说明</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4.1本项目不接受联合体参加。</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5.特别说明</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▲5.1 单位负责人为同一人或者存在直接控股、管理关系的不同投标人，以及属于同一母公司或集团的不同投标人不得参加同一合同项下的政府采购活动。</w:t>
      </w:r>
    </w:p>
    <w:p>
      <w:pPr>
        <w:snapToGrid w:val="0"/>
        <w:spacing w:line="360" w:lineRule="auto"/>
        <w:ind w:firstLine="482" w:firstLineChars="200"/>
        <w:textAlignment w:val="baseline"/>
        <w:rPr>
          <w:rFonts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5.2 为采购项目提供整体设计、规范编制或者项目管理、监理、检测等服务的供应商，不得再参加该采购项目的其他采购活动。</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5.3 多家投标人提供相同品牌的产品参加同一合同项投标的，应当按一家投标人认定。</w:t>
      </w:r>
    </w:p>
    <w:p>
      <w:pPr>
        <w:snapToGrid w:val="0"/>
        <w:spacing w:line="360" w:lineRule="auto"/>
        <w:ind w:firstLine="480" w:firstLineChars="200"/>
        <w:textAlignment w:val="baseline"/>
        <w:rPr>
          <w:rFonts w:ascii="仿宋" w:hAnsi="仿宋" w:eastAsia="仿宋" w:cs="仿宋"/>
          <w:sz w:val="20"/>
        </w:rPr>
      </w:pPr>
      <w:r>
        <w:rPr>
          <w:rFonts w:hint="eastAsia" w:ascii="仿宋" w:hAnsi="仿宋" w:eastAsia="仿宋" w:cs="仿宋"/>
          <w:sz w:val="24"/>
          <w:szCs w:val="24"/>
        </w:rPr>
        <w:t>5.4 投标人自行承担所有与投标有关的全部费用。</w:t>
      </w:r>
      <w:bookmarkStart w:id="124" w:name="EBf33655181aa74616a4714729efbcef95"/>
      <w:bookmarkEnd w:id="124"/>
      <w:bookmarkStart w:id="125" w:name="EBb242ed4d95ae426f999df4b9b64f51fb"/>
      <w:bookmarkEnd w:id="125"/>
    </w:p>
    <w:p>
      <w:pPr>
        <w:pStyle w:val="4"/>
        <w:snapToGrid w:val="0"/>
        <w:spacing w:before="200" w:after="200"/>
        <w:ind w:firstLine="0" w:firstLineChars="0"/>
        <w:textAlignment w:val="baseline"/>
        <w:rPr>
          <w:rFonts w:ascii="仿宋" w:hAnsi="仿宋" w:eastAsia="仿宋" w:cs="仿宋"/>
          <w:sz w:val="32"/>
          <w:szCs w:val="32"/>
        </w:rPr>
      </w:pPr>
      <w:bookmarkStart w:id="126" w:name="_Toc493956034"/>
      <w:bookmarkStart w:id="127" w:name="_Toc9842"/>
      <w:bookmarkStart w:id="128" w:name="_Toc17154"/>
      <w:bookmarkStart w:id="129" w:name="_Toc6926"/>
      <w:bookmarkStart w:id="130" w:name="_Toc3919"/>
      <w:bookmarkStart w:id="131" w:name="_Toc6983"/>
      <w:bookmarkStart w:id="132" w:name="_Toc8342"/>
      <w:bookmarkStart w:id="133" w:name="_Toc1302"/>
      <w:bookmarkStart w:id="134" w:name="_Toc15209"/>
      <w:r>
        <w:rPr>
          <w:rFonts w:hint="eastAsia" w:ascii="仿宋" w:hAnsi="仿宋" w:eastAsia="仿宋" w:cs="仿宋"/>
          <w:sz w:val="32"/>
          <w:szCs w:val="32"/>
        </w:rPr>
        <w:t>二、招标文件说明</w:t>
      </w:r>
      <w:bookmarkEnd w:id="126"/>
      <w:bookmarkEnd w:id="127"/>
      <w:bookmarkEnd w:id="128"/>
      <w:bookmarkEnd w:id="129"/>
      <w:bookmarkEnd w:id="130"/>
      <w:bookmarkEnd w:id="131"/>
      <w:bookmarkEnd w:id="132"/>
      <w:bookmarkEnd w:id="133"/>
      <w:bookmarkEnd w:id="134"/>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6. 招标文件的构成</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 招标文件用以阐明项目所需产品、服务、招标、投标程序和合同条款等。本招标文件由下述部分组成：</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6.1.1公开招标投标邀请</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6.1.2 招标需求</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6.1.3 投标人须知</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6.1.4 政府采购合同格式（范本）</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6.1.5 投标相关文件格式</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6.1.6 评审办法和细则</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6.1.7 与本项目有关的招标文件澄清、答复、修改、补充的内容</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7. 投标人的风险</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7.1 投标人应认真阅读招标文件中的所有条款。投标人没有按照招标文件的要求提供全部资料，或者投标人没有对招标文件在各方面作出实质性响应是投标人的风险，并可能导致其投标被拒绝。</w:t>
      </w:r>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8. 招标文件的澄清和修改</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8.1 招标文件澄清、答复、修改、补充的内容为招标文件的组成部分。</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8.2 报名投标人认真阅读招标文件，应于招标文件规定的时间前向采购代理机构（传真）提出澄清申请。采购代理机构对已发出的招标文件进行必要的澄清或者修改。澄清或者修改内容可能影响投标文件编制的，采购代理机构在提交投标文件的截止时间15日前，在“浙江省政府采购网”、“丽水市公共资源交易网”等上公布更正公告，并对其具有约束力。不足15日的，采购代理机构顺延投标文件的截止时间。</w:t>
      </w:r>
    </w:p>
    <w:p>
      <w:pPr>
        <w:pStyle w:val="4"/>
        <w:keepNext w:val="0"/>
        <w:keepLines w:val="0"/>
        <w:snapToGrid w:val="0"/>
        <w:spacing w:before="200" w:after="200"/>
        <w:ind w:firstLine="0" w:firstLineChars="0"/>
        <w:textAlignment w:val="baseline"/>
        <w:rPr>
          <w:rFonts w:ascii="仿宋" w:hAnsi="仿宋" w:eastAsia="仿宋" w:cs="仿宋"/>
          <w:sz w:val="32"/>
          <w:szCs w:val="32"/>
        </w:rPr>
      </w:pPr>
      <w:bookmarkStart w:id="135" w:name="_Toc31447"/>
      <w:bookmarkStart w:id="136" w:name="_Toc3770"/>
      <w:bookmarkStart w:id="137" w:name="_Toc28353"/>
      <w:bookmarkStart w:id="138" w:name="_Toc11253"/>
      <w:bookmarkStart w:id="139" w:name="_Toc7600"/>
      <w:bookmarkStart w:id="140" w:name="_Toc30622"/>
      <w:bookmarkStart w:id="141" w:name="_Toc493956035"/>
      <w:bookmarkStart w:id="142" w:name="_Toc27805"/>
      <w:bookmarkStart w:id="143" w:name="_Toc31971"/>
      <w:r>
        <w:rPr>
          <w:rFonts w:hint="eastAsia" w:ascii="仿宋" w:hAnsi="仿宋" w:eastAsia="仿宋" w:cs="仿宋"/>
          <w:sz w:val="32"/>
          <w:szCs w:val="32"/>
        </w:rPr>
        <w:t>三、投标文件的编制</w:t>
      </w:r>
      <w:bookmarkEnd w:id="135"/>
      <w:bookmarkEnd w:id="136"/>
      <w:bookmarkEnd w:id="137"/>
      <w:bookmarkEnd w:id="138"/>
      <w:bookmarkEnd w:id="139"/>
      <w:bookmarkEnd w:id="140"/>
      <w:bookmarkEnd w:id="141"/>
      <w:bookmarkEnd w:id="142"/>
      <w:bookmarkEnd w:id="143"/>
    </w:p>
    <w:p>
      <w:pPr>
        <w:snapToGrid w:val="0"/>
        <w:spacing w:line="360" w:lineRule="auto"/>
        <w:ind w:firstLine="482" w:firstLineChars="200"/>
        <w:textAlignment w:val="baseline"/>
        <w:rPr>
          <w:rFonts w:ascii="仿宋" w:hAnsi="仿宋" w:eastAsia="仿宋" w:cs="仿宋"/>
          <w:b/>
          <w:bCs/>
          <w:sz w:val="24"/>
          <w:szCs w:val="24"/>
        </w:rPr>
      </w:pPr>
      <w:r>
        <w:rPr>
          <w:rFonts w:hint="eastAsia" w:ascii="仿宋" w:hAnsi="仿宋" w:eastAsia="仿宋" w:cs="仿宋"/>
          <w:b/>
          <w:bCs/>
          <w:sz w:val="24"/>
          <w:szCs w:val="24"/>
        </w:rPr>
        <w:t>9. 要求</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9.1 投标人应仔细阅读招标文件的所有内容，按照招标文件的要求提交</w:t>
      </w:r>
      <w:r>
        <w:rPr>
          <w:rFonts w:hint="eastAsia" w:ascii="仿宋" w:hAnsi="仿宋" w:eastAsia="仿宋" w:cs="仿宋"/>
          <w:kern w:val="0"/>
          <w:sz w:val="24"/>
          <w:szCs w:val="24"/>
        </w:rPr>
        <w:t>投标文件</w:t>
      </w:r>
      <w:r>
        <w:rPr>
          <w:rFonts w:hint="eastAsia" w:ascii="仿宋" w:hAnsi="仿宋" w:eastAsia="仿宋" w:cs="仿宋"/>
          <w:sz w:val="24"/>
          <w:szCs w:val="24"/>
        </w:rPr>
        <w:t>，并对所提供的全部资料的真实性承担法律责任。</w:t>
      </w:r>
    </w:p>
    <w:p>
      <w:pPr>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9.2 投标文件、投标人与采购有关的往来通知、函件和文件均应使用中文。如涉及非中文内容的，投标人有义务将其内容翻译成中文，一切对非中文内容的误解，都将由投标人承担。</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10. </w:t>
      </w:r>
      <w:r>
        <w:rPr>
          <w:rFonts w:hint="eastAsia" w:ascii="仿宋" w:hAnsi="仿宋" w:eastAsia="仿宋" w:cs="仿宋"/>
          <w:b/>
          <w:bCs/>
          <w:sz w:val="24"/>
          <w:szCs w:val="24"/>
        </w:rPr>
        <w:t>投标文件的组成</w:t>
      </w:r>
    </w:p>
    <w:p>
      <w:pPr>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10.1投标人</w:t>
      </w:r>
      <w:r>
        <w:rPr>
          <w:rFonts w:hint="eastAsia" w:ascii="仿宋" w:hAnsi="仿宋" w:eastAsia="仿宋" w:cs="仿宋"/>
          <w:kern w:val="0"/>
          <w:sz w:val="24"/>
          <w:szCs w:val="24"/>
        </w:rPr>
        <w:t>提交的</w:t>
      </w:r>
      <w:r>
        <w:rPr>
          <w:rFonts w:hint="eastAsia" w:ascii="仿宋" w:hAnsi="仿宋" w:eastAsia="仿宋" w:cs="仿宋"/>
          <w:sz w:val="24"/>
          <w:szCs w:val="24"/>
        </w:rPr>
        <w:t>投标文件</w:t>
      </w:r>
      <w:r>
        <w:rPr>
          <w:rFonts w:hint="eastAsia" w:ascii="仿宋" w:hAnsi="仿宋" w:eastAsia="仿宋" w:cs="仿宋"/>
          <w:kern w:val="0"/>
          <w:sz w:val="24"/>
          <w:szCs w:val="24"/>
        </w:rPr>
        <w:t>应分为资格审查文件、资信商务及技术文件、报价文件三部分，</w:t>
      </w:r>
      <w:r>
        <w:rPr>
          <w:rFonts w:hint="eastAsia" w:ascii="仿宋" w:hAnsi="仿宋" w:eastAsia="仿宋" w:cs="仿宋"/>
          <w:sz w:val="24"/>
          <w:szCs w:val="24"/>
        </w:rPr>
        <w:t>投标文件</w:t>
      </w:r>
      <w:r>
        <w:rPr>
          <w:rFonts w:hint="eastAsia" w:ascii="仿宋" w:hAnsi="仿宋" w:eastAsia="仿宋" w:cs="仿宋"/>
          <w:kern w:val="0"/>
          <w:sz w:val="24"/>
          <w:szCs w:val="24"/>
        </w:rPr>
        <w:t>应全部单独密封。</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10.2 </w:t>
      </w:r>
      <w:r>
        <w:rPr>
          <w:rFonts w:hint="eastAsia" w:ascii="仿宋" w:hAnsi="仿宋" w:eastAsia="仿宋" w:cs="仿宋"/>
          <w:sz w:val="24"/>
          <w:szCs w:val="24"/>
        </w:rPr>
        <w:t>招标文件“第五章投标相关文件格式”所列的格式、内容以及投标人认为有必要提供的其它文件。</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11. </w:t>
      </w:r>
      <w:r>
        <w:rPr>
          <w:rFonts w:hint="eastAsia" w:ascii="仿宋" w:hAnsi="仿宋" w:eastAsia="仿宋" w:cs="仿宋"/>
          <w:b/>
          <w:bCs/>
          <w:sz w:val="24"/>
          <w:szCs w:val="24"/>
        </w:rPr>
        <w:t>投标文件（资格审查文件、资信商务及技术文件、报价文件）编制的内容和要求</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11.1 </w:t>
      </w:r>
      <w:r>
        <w:rPr>
          <w:rFonts w:hint="eastAsia" w:ascii="仿宋" w:hAnsi="仿宋" w:eastAsia="仿宋" w:cs="仿宋"/>
          <w:b/>
          <w:bCs/>
          <w:sz w:val="24"/>
          <w:szCs w:val="24"/>
        </w:rPr>
        <w:t>资格审查文件编制内容和要求</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▲11.1.1 公司有效营业执照复印件；</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▲11.1.2 负责人身份证复印件；有被委托人的，则还应当提供授权委托书及被委托人的身份证复印件；</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▲11.1.3 政府采购资格承诺函；</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▲11.1.4 资格声明；</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▲11.1.5 无重大违法记录声明书；</w:t>
      </w:r>
    </w:p>
    <w:p>
      <w:pPr>
        <w:spacing w:line="360" w:lineRule="auto"/>
        <w:ind w:firstLine="480" w:firstLineChars="200"/>
        <w:rPr>
          <w:rFonts w:hint="default" w:ascii="仿宋" w:hAnsi="仿宋" w:eastAsia="仿宋" w:cs="仿宋"/>
          <w:kern w:val="0"/>
          <w:sz w:val="24"/>
          <w:szCs w:val="24"/>
        </w:rPr>
      </w:pPr>
      <w:r>
        <w:rPr>
          <w:rFonts w:hint="eastAsia" w:ascii="仿宋" w:hAnsi="仿宋" w:eastAsia="仿宋" w:cs="仿宋"/>
          <w:kern w:val="0"/>
          <w:sz w:val="24"/>
          <w:szCs w:val="24"/>
        </w:rPr>
        <w:t>▲11.1.6</w:t>
      </w:r>
      <w:r>
        <w:rPr>
          <w:rFonts w:hint="eastAsia" w:ascii="仿宋" w:hAnsi="仿宋" w:eastAsia="仿宋" w:cs="仿宋"/>
          <w:b w:val="0"/>
          <w:bCs w:val="0"/>
          <w:kern w:val="0"/>
          <w:sz w:val="24"/>
          <w:szCs w:val="24"/>
          <w:lang w:eastAsia="zh-CN"/>
        </w:rPr>
        <w:t>本项目的特定资格要求</w:t>
      </w:r>
      <w:r>
        <w:rPr>
          <w:rFonts w:hint="eastAsia" w:ascii="仿宋" w:hAnsi="仿宋" w:eastAsia="仿宋" w:cs="仿宋"/>
          <w:b w:val="0"/>
          <w:bCs w:val="0"/>
          <w:kern w:val="0"/>
          <w:sz w:val="24"/>
          <w:szCs w:val="24"/>
          <w:lang w:val="en-US" w:eastAsia="zh-CN"/>
        </w:rPr>
        <w:t>;</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▲11.1.</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 xml:space="preserve"> 以上复印件均需加盖单位公章。</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11.1.</w:t>
      </w:r>
      <w:r>
        <w:rPr>
          <w:rFonts w:hint="eastAsia" w:ascii="仿宋" w:hAnsi="仿宋" w:eastAsia="仿宋" w:cs="仿宋"/>
          <w:kern w:val="0"/>
          <w:sz w:val="24"/>
          <w:szCs w:val="24"/>
          <w:lang w:val="en-US" w:eastAsia="zh-CN"/>
        </w:rPr>
        <w:t>8</w:t>
      </w:r>
      <w:r>
        <w:rPr>
          <w:rFonts w:ascii="仿宋" w:hAnsi="仿宋" w:eastAsia="仿宋" w:cs="仿宋"/>
          <w:sz w:val="24"/>
          <w:szCs w:val="24"/>
        </w:rPr>
        <w:t xml:space="preserve"> </w:t>
      </w:r>
      <w:r>
        <w:rPr>
          <w:rFonts w:hint="eastAsia" w:ascii="仿宋" w:hAnsi="仿宋" w:eastAsia="仿宋" w:cs="仿宋"/>
          <w:sz w:val="24"/>
          <w:szCs w:val="24"/>
        </w:rPr>
        <w:t>以上材料有格式的严格按格式要求填写（格式见第五章资格审查文件格式）</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11.1.</w:t>
      </w:r>
      <w:r>
        <w:rPr>
          <w:rFonts w:hint="eastAsia" w:ascii="仿宋" w:hAnsi="仿宋" w:eastAsia="仿宋" w:cs="仿宋"/>
          <w:kern w:val="0"/>
          <w:sz w:val="24"/>
          <w:szCs w:val="24"/>
          <w:lang w:val="en-US" w:eastAsia="zh-CN"/>
        </w:rPr>
        <w:t>9</w:t>
      </w:r>
      <w:r>
        <w:rPr>
          <w:rFonts w:ascii="仿宋" w:hAnsi="仿宋" w:eastAsia="仿宋" w:cs="仿宋"/>
          <w:kern w:val="0"/>
          <w:sz w:val="24"/>
          <w:szCs w:val="24"/>
        </w:rPr>
        <w:t xml:space="preserve"> </w:t>
      </w:r>
      <w:r>
        <w:rPr>
          <w:rFonts w:hint="eastAsia" w:ascii="仿宋" w:hAnsi="仿宋" w:eastAsia="仿宋" w:cs="仿宋"/>
          <w:kern w:val="0"/>
          <w:sz w:val="24"/>
          <w:szCs w:val="24"/>
        </w:rPr>
        <w:t>资格审查文件应装订成册，纸张建议采用</w:t>
      </w:r>
      <w:r>
        <w:rPr>
          <w:rFonts w:ascii="仿宋" w:hAnsi="仿宋" w:eastAsia="仿宋" w:cs="仿宋"/>
          <w:kern w:val="0"/>
          <w:sz w:val="24"/>
          <w:szCs w:val="24"/>
        </w:rPr>
        <w:t>A4</w:t>
      </w:r>
      <w:r>
        <w:rPr>
          <w:rFonts w:hint="eastAsia" w:ascii="仿宋" w:hAnsi="仿宋" w:eastAsia="仿宋" w:cs="仿宋"/>
          <w:kern w:val="0"/>
          <w:sz w:val="24"/>
          <w:szCs w:val="24"/>
        </w:rPr>
        <w:t>规格。上述所涉复印件应装订入资格审查文件中；</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11.1.</w:t>
      </w:r>
      <w:r>
        <w:rPr>
          <w:rFonts w:hint="eastAsia" w:ascii="仿宋" w:hAnsi="仿宋" w:eastAsia="仿宋" w:cs="仿宋"/>
          <w:sz w:val="24"/>
          <w:szCs w:val="24"/>
          <w:lang w:val="en-US" w:eastAsia="zh-CN"/>
        </w:rPr>
        <w:t>10</w:t>
      </w:r>
      <w:r>
        <w:rPr>
          <w:rFonts w:ascii="仿宋" w:hAnsi="仿宋" w:eastAsia="仿宋" w:cs="仿宋"/>
          <w:sz w:val="24"/>
          <w:szCs w:val="24"/>
        </w:rPr>
        <w:t xml:space="preserve"> </w:t>
      </w:r>
      <w:r>
        <w:rPr>
          <w:rFonts w:hint="eastAsia" w:ascii="仿宋" w:hAnsi="仿宋" w:eastAsia="仿宋" w:cs="仿宋"/>
          <w:sz w:val="24"/>
          <w:szCs w:val="24"/>
        </w:rPr>
        <w:t>在资格审查时投标人准备相关原件提交备查，资格审查结束后所有原件交回投标人。</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11.2 </w:t>
      </w:r>
      <w:r>
        <w:rPr>
          <w:rFonts w:hint="eastAsia" w:ascii="仿宋" w:hAnsi="仿宋" w:eastAsia="仿宋" w:cs="仿宋"/>
          <w:b/>
          <w:bCs/>
          <w:sz w:val="24"/>
          <w:szCs w:val="24"/>
        </w:rPr>
        <w:t>资信商务及技术文件编制内容和要求</w:t>
      </w:r>
    </w:p>
    <w:p>
      <w:pPr>
        <w:spacing w:line="360" w:lineRule="auto"/>
        <w:ind w:firstLine="482" w:firstLineChars="200"/>
        <w:rPr>
          <w:rFonts w:ascii="仿宋" w:hAnsi="仿宋" w:eastAsia="仿宋" w:cs="Times New Roman"/>
          <w:sz w:val="24"/>
          <w:szCs w:val="24"/>
        </w:rPr>
      </w:pPr>
      <w:r>
        <w:rPr>
          <w:rFonts w:hint="eastAsia" w:ascii="仿宋" w:hAnsi="仿宋" w:eastAsia="仿宋" w:cs="仿宋"/>
          <w:b/>
          <w:bCs/>
          <w:sz w:val="24"/>
          <w:szCs w:val="24"/>
        </w:rPr>
        <w:t>▲</w:t>
      </w:r>
      <w:r>
        <w:rPr>
          <w:rFonts w:ascii="仿宋" w:hAnsi="仿宋" w:eastAsia="仿宋" w:cs="仿宋"/>
          <w:sz w:val="24"/>
          <w:szCs w:val="24"/>
        </w:rPr>
        <w:t xml:space="preserve">11.2.1 </w:t>
      </w:r>
      <w:r>
        <w:rPr>
          <w:rFonts w:hint="eastAsia" w:ascii="仿宋" w:hAnsi="仿宋" w:eastAsia="仿宋" w:cs="仿宋"/>
          <w:sz w:val="24"/>
          <w:szCs w:val="24"/>
        </w:rPr>
        <w:t>投标声明书；</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 xml:space="preserve">11.2.2 </w:t>
      </w:r>
      <w:r>
        <w:rPr>
          <w:rFonts w:hint="eastAsia" w:ascii="仿宋" w:hAnsi="仿宋" w:eastAsia="仿宋" w:cs="仿宋"/>
          <w:sz w:val="24"/>
          <w:szCs w:val="24"/>
        </w:rPr>
        <w:t>投标人参标申请表；</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11.2.</w:t>
      </w:r>
      <w:r>
        <w:rPr>
          <w:rFonts w:hint="eastAsia" w:ascii="仿宋" w:hAnsi="仿宋" w:eastAsia="仿宋" w:cs="仿宋"/>
          <w:sz w:val="24"/>
          <w:szCs w:val="24"/>
        </w:rPr>
        <w:t>3</w:t>
      </w:r>
      <w:r>
        <w:rPr>
          <w:rFonts w:ascii="仿宋" w:hAnsi="仿宋" w:eastAsia="仿宋" w:cs="仿宋"/>
          <w:sz w:val="24"/>
          <w:szCs w:val="24"/>
        </w:rPr>
        <w:t xml:space="preserve"> </w:t>
      </w:r>
      <w:r>
        <w:rPr>
          <w:rFonts w:hint="eastAsia" w:ascii="仿宋" w:hAnsi="仿宋" w:eastAsia="仿宋" w:cs="仿宋"/>
          <w:sz w:val="24"/>
          <w:szCs w:val="24"/>
        </w:rPr>
        <w:t>投标人符合小微企业、监狱企业和残疾人福利企业相关政策的，应填写中小企业声明函。</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11.2.</w:t>
      </w:r>
      <w:r>
        <w:rPr>
          <w:rFonts w:hint="eastAsia" w:ascii="仿宋" w:hAnsi="仿宋" w:eastAsia="仿宋" w:cs="仿宋"/>
          <w:sz w:val="24"/>
          <w:szCs w:val="24"/>
        </w:rPr>
        <w:t>4</w:t>
      </w:r>
      <w:r>
        <w:rPr>
          <w:rFonts w:ascii="仿宋" w:hAnsi="仿宋" w:eastAsia="仿宋" w:cs="仿宋"/>
          <w:sz w:val="24"/>
          <w:szCs w:val="24"/>
        </w:rPr>
        <w:t xml:space="preserve"> </w:t>
      </w:r>
      <w:r>
        <w:rPr>
          <w:rFonts w:hint="eastAsia" w:ascii="仿宋" w:hAnsi="仿宋" w:eastAsia="仿宋" w:cs="仿宋"/>
          <w:sz w:val="24"/>
          <w:szCs w:val="24"/>
        </w:rPr>
        <w:t>商务响应表；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11.2.5实施总体方案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11.2.6技术参数规格偏离表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11.2.7重点和难点分析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11.2.8质量承诺及保证措施</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9项目班子人员配备情况表</w:t>
      </w:r>
    </w:p>
    <w:p>
      <w:pPr>
        <w:spacing w:line="360" w:lineRule="auto"/>
        <w:ind w:firstLine="480" w:firstLineChars="200"/>
        <w:rPr>
          <w:rFonts w:ascii="仿宋" w:hAnsi="仿宋" w:eastAsia="仿宋" w:cs="Times New Roman"/>
          <w:b/>
          <w:bCs/>
          <w:sz w:val="24"/>
          <w:szCs w:val="24"/>
        </w:rPr>
      </w:pPr>
      <w:r>
        <w:rPr>
          <w:rFonts w:ascii="仿宋" w:hAnsi="仿宋" w:eastAsia="仿宋" w:cs="仿宋"/>
          <w:sz w:val="24"/>
          <w:szCs w:val="24"/>
        </w:rPr>
        <w:t>11.2.</w:t>
      </w:r>
      <w:r>
        <w:rPr>
          <w:rFonts w:hint="eastAsia" w:ascii="仿宋" w:hAnsi="仿宋" w:eastAsia="仿宋" w:cs="仿宋"/>
          <w:sz w:val="24"/>
          <w:szCs w:val="24"/>
        </w:rPr>
        <w:t>10</w:t>
      </w:r>
      <w:r>
        <w:rPr>
          <w:rFonts w:ascii="仿宋" w:hAnsi="仿宋" w:eastAsia="仿宋" w:cs="仿宋"/>
          <w:sz w:val="24"/>
          <w:szCs w:val="24"/>
        </w:rPr>
        <w:t xml:space="preserve"> </w:t>
      </w:r>
      <w:r>
        <w:rPr>
          <w:rFonts w:hint="eastAsia" w:ascii="仿宋" w:hAnsi="仿宋" w:eastAsia="仿宋" w:cs="仿宋"/>
          <w:sz w:val="24"/>
          <w:szCs w:val="24"/>
        </w:rPr>
        <w:t>其它（投标人认为有利于其本次投标的其它资信及商务材料等）。</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11.2.</w:t>
      </w:r>
      <w:r>
        <w:rPr>
          <w:rFonts w:hint="eastAsia" w:ascii="仿宋" w:hAnsi="仿宋" w:eastAsia="仿宋" w:cs="仿宋"/>
          <w:kern w:val="0"/>
          <w:sz w:val="24"/>
          <w:szCs w:val="24"/>
        </w:rPr>
        <w:t>11</w:t>
      </w:r>
      <w:r>
        <w:rPr>
          <w:rFonts w:ascii="仿宋" w:hAnsi="仿宋" w:eastAsia="仿宋" w:cs="仿宋"/>
          <w:kern w:val="0"/>
          <w:sz w:val="24"/>
          <w:szCs w:val="24"/>
        </w:rPr>
        <w:t xml:space="preserve"> </w:t>
      </w:r>
      <w:r>
        <w:rPr>
          <w:rFonts w:hint="eastAsia" w:ascii="仿宋" w:hAnsi="仿宋" w:eastAsia="仿宋" w:cs="仿宋"/>
          <w:kern w:val="0"/>
          <w:sz w:val="24"/>
          <w:szCs w:val="24"/>
        </w:rPr>
        <w:t>投标人未在</w:t>
      </w:r>
      <w:r>
        <w:rPr>
          <w:rFonts w:hint="eastAsia" w:ascii="仿宋" w:hAnsi="仿宋" w:eastAsia="仿宋" w:cs="仿宋"/>
          <w:sz w:val="24"/>
          <w:szCs w:val="24"/>
        </w:rPr>
        <w:t>投标文件</w:t>
      </w:r>
      <w:r>
        <w:rPr>
          <w:rFonts w:hint="eastAsia" w:ascii="仿宋" w:hAnsi="仿宋" w:eastAsia="仿宋" w:cs="仿宋"/>
          <w:kern w:val="0"/>
          <w:sz w:val="24"/>
          <w:szCs w:val="24"/>
        </w:rPr>
        <w:t>的资信及商务文件中注明上述相关明细或证明的，造成后果由投标人自行承担。</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12按招标文件“第五章投标相关文件格式”所列的内容和格式。</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13投标人应对照招标文件“第二章招标需求”所列的内容提供完整产品、服务、技术指标等。</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14</w:t>
      </w:r>
      <w:r>
        <w:rPr>
          <w:rFonts w:ascii="仿宋" w:hAnsi="仿宋" w:eastAsia="仿宋" w:cs="仿宋"/>
          <w:sz w:val="24"/>
          <w:szCs w:val="24"/>
        </w:rPr>
        <w:t xml:space="preserve"> </w:t>
      </w:r>
      <w:r>
        <w:rPr>
          <w:rFonts w:hint="eastAsia" w:ascii="仿宋" w:hAnsi="仿宋" w:eastAsia="仿宋" w:cs="仿宋"/>
          <w:sz w:val="24"/>
          <w:szCs w:val="24"/>
        </w:rPr>
        <w:t>项目承诺：招标文件规定的要求仅为基本要求，投标人可以作出优于或高于招标文件中所要求的承诺。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15投标人认为有必要提交的其他技术证明资料。</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11.</w:t>
      </w:r>
      <w:r>
        <w:rPr>
          <w:rFonts w:hint="eastAsia" w:ascii="仿宋" w:hAnsi="仿宋" w:eastAsia="仿宋" w:cs="仿宋"/>
          <w:b/>
          <w:bCs/>
          <w:sz w:val="24"/>
          <w:szCs w:val="24"/>
        </w:rPr>
        <w:t>3</w:t>
      </w:r>
      <w:r>
        <w:rPr>
          <w:rFonts w:ascii="仿宋" w:hAnsi="仿宋" w:eastAsia="仿宋" w:cs="仿宋"/>
          <w:b/>
          <w:bCs/>
          <w:sz w:val="24"/>
          <w:szCs w:val="24"/>
        </w:rPr>
        <w:t xml:space="preserve"> </w:t>
      </w:r>
      <w:r>
        <w:rPr>
          <w:rFonts w:hint="eastAsia" w:ascii="仿宋" w:hAnsi="仿宋" w:eastAsia="仿宋" w:cs="仿宋"/>
          <w:b/>
          <w:bCs/>
          <w:sz w:val="24"/>
          <w:szCs w:val="24"/>
        </w:rPr>
        <w:t>报价文件编制的内容和要求</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 xml:space="preserve">.1 </w:t>
      </w:r>
      <w:r>
        <w:rPr>
          <w:rFonts w:hint="eastAsia" w:ascii="仿宋" w:hAnsi="仿宋" w:eastAsia="仿宋" w:cs="仿宋"/>
          <w:sz w:val="24"/>
          <w:szCs w:val="24"/>
        </w:rPr>
        <w:t>按招标文件“第五章投标相关文件格式”所列的内容和格式的要求，以及投标人认为有必要提供的其它文件。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 xml:space="preserve">.2 </w:t>
      </w:r>
      <w:r>
        <w:rPr>
          <w:rFonts w:hint="eastAsia" w:ascii="仿宋" w:hAnsi="仿宋" w:eastAsia="仿宋" w:cs="仿宋"/>
          <w:sz w:val="24"/>
          <w:szCs w:val="24"/>
        </w:rPr>
        <w:t>招标文件“第二章招标需求”所列的相关内容编制。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 xml:space="preserve">.3 </w:t>
      </w:r>
      <w:r>
        <w:rPr>
          <w:rFonts w:hint="eastAsia" w:ascii="仿宋" w:hAnsi="仿宋" w:eastAsia="仿宋" w:cs="仿宋"/>
          <w:sz w:val="24"/>
          <w:szCs w:val="24"/>
        </w:rPr>
        <w:t>投标报价</w:t>
      </w:r>
    </w:p>
    <w:p>
      <w:pPr>
        <w:spacing w:line="360" w:lineRule="auto"/>
        <w:ind w:firstLine="482" w:firstLineChars="200"/>
        <w:rPr>
          <w:rFonts w:ascii="仿宋" w:hAnsi="仿宋" w:eastAsia="仿宋" w:cs="Times New Roman"/>
          <w:sz w:val="24"/>
          <w:szCs w:val="24"/>
        </w:rPr>
      </w:pPr>
      <w:r>
        <w:rPr>
          <w:rFonts w:hint="eastAsia" w:ascii="仿宋" w:hAnsi="仿宋" w:eastAsia="仿宋" w:cs="仿宋"/>
          <w:b/>
          <w:bCs/>
          <w:sz w:val="24"/>
          <w:szCs w:val="24"/>
        </w:rPr>
        <w:t>▲</w:t>
      </w: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.3.1</w:t>
      </w:r>
      <w:r>
        <w:rPr>
          <w:rFonts w:hint="eastAsia" w:ascii="仿宋" w:hAnsi="仿宋" w:eastAsia="仿宋" w:cs="仿宋"/>
          <w:sz w:val="24"/>
          <w:szCs w:val="24"/>
        </w:rPr>
        <w:t>投标人应在招标文件所附表格格式填写投标产品、服务的单价和投标总价。投标文件只允许有一个报价，有选择的或者有条件的报价将不予接受。</w:t>
      </w:r>
    </w:p>
    <w:p>
      <w:pPr>
        <w:spacing w:line="360" w:lineRule="auto"/>
        <w:ind w:firstLine="480"/>
        <w:rPr>
          <w:rFonts w:ascii="仿宋" w:hAnsi="仿宋" w:eastAsia="仿宋" w:cs="Times New Roman"/>
          <w:sz w:val="24"/>
          <w:szCs w:val="24"/>
        </w:rPr>
      </w:pPr>
      <w:r>
        <w:rPr>
          <w:rFonts w:hint="eastAsia" w:ascii="仿宋" w:hAnsi="仿宋" w:eastAsia="仿宋" w:cs="仿宋"/>
          <w:b/>
          <w:bCs/>
          <w:sz w:val="24"/>
          <w:szCs w:val="24"/>
        </w:rPr>
        <w:t>▲</w:t>
      </w: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 </w:t>
      </w:r>
      <w:r>
        <w:rPr>
          <w:rFonts w:hint="eastAsia" w:ascii="仿宋" w:hAnsi="仿宋" w:eastAsia="仿宋" w:cs="仿宋"/>
          <w:sz w:val="24"/>
          <w:szCs w:val="24"/>
        </w:rPr>
        <w:t>投标报价超过采购最高限价的，投标人不进入报价评分且其报价得分为</w:t>
      </w:r>
      <w:r>
        <w:rPr>
          <w:rFonts w:ascii="仿宋" w:hAnsi="仿宋" w:eastAsia="仿宋" w:cs="仿宋"/>
          <w:sz w:val="24"/>
          <w:szCs w:val="24"/>
        </w:rPr>
        <w:t>0</w:t>
      </w:r>
      <w:r>
        <w:rPr>
          <w:rFonts w:hint="eastAsia" w:ascii="仿宋" w:hAnsi="仿宋" w:eastAsia="仿宋" w:cs="仿宋"/>
          <w:sz w:val="24"/>
          <w:szCs w:val="24"/>
        </w:rPr>
        <w:t>分，并不得推荐为中标候选人。</w:t>
      </w:r>
    </w:p>
    <w:p>
      <w:pPr>
        <w:spacing w:line="360" w:lineRule="auto"/>
        <w:ind w:firstLine="480"/>
        <w:rPr>
          <w:rFonts w:ascii="仿宋" w:hAnsi="仿宋" w:eastAsia="仿宋" w:cs="Times New Roman"/>
          <w:sz w:val="24"/>
          <w:szCs w:val="24"/>
        </w:rPr>
      </w:pPr>
      <w:r>
        <w:rPr>
          <w:rFonts w:hint="eastAsia" w:ascii="仿宋" w:hAnsi="仿宋" w:eastAsia="仿宋" w:cs="仿宋"/>
          <w:b/>
          <w:bCs/>
          <w:sz w:val="24"/>
          <w:szCs w:val="24"/>
        </w:rPr>
        <w:t>▲</w:t>
      </w:r>
      <w:r>
        <w:rPr>
          <w:rFonts w:ascii="仿宋" w:hAnsi="仿宋" w:eastAsia="仿宋" w:cs="仿宋"/>
          <w:sz w:val="24"/>
          <w:szCs w:val="24"/>
        </w:rPr>
        <w:t>11.</w:t>
      </w:r>
      <w:r>
        <w:rPr>
          <w:rFonts w:hint="eastAsia" w:ascii="仿宋" w:hAnsi="仿宋" w:eastAsia="仿宋" w:cs="仿宋"/>
          <w:sz w:val="24"/>
          <w:szCs w:val="24"/>
        </w:rPr>
        <w:t>3</w:t>
      </w: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 xml:space="preserve"> </w:t>
      </w:r>
      <w:r>
        <w:rPr>
          <w:rFonts w:hint="eastAsia" w:ascii="仿宋" w:hAnsi="仿宋" w:eastAsia="仿宋" w:cs="仿宋"/>
          <w:sz w:val="24"/>
          <w:szCs w:val="24"/>
        </w:rPr>
        <w:t>投标报价是履行合同的最终价格，除招标文件特殊说明外，应包括货款、标准附件、产品标配的备品备件、专用工具、包装、运输、装卸、保险、税金、货到就位以及安装、调试、培训、保修等一切税金和费用。</w:t>
      </w:r>
    </w:p>
    <w:p>
      <w:pPr>
        <w:spacing w:line="360" w:lineRule="auto"/>
        <w:ind w:firstLine="482" w:firstLineChars="200"/>
        <w:rPr>
          <w:rFonts w:ascii="仿宋" w:hAnsi="仿宋" w:eastAsia="仿宋" w:cs="Times New Roman"/>
          <w:sz w:val="24"/>
          <w:szCs w:val="24"/>
        </w:rPr>
      </w:pPr>
      <w:r>
        <w:rPr>
          <w:rFonts w:ascii="仿宋" w:hAnsi="仿宋" w:eastAsia="仿宋" w:cs="仿宋"/>
          <w:b/>
          <w:bCs/>
          <w:kern w:val="0"/>
          <w:sz w:val="24"/>
          <w:szCs w:val="24"/>
        </w:rPr>
        <w:t>11.</w:t>
      </w:r>
      <w:r>
        <w:rPr>
          <w:rFonts w:hint="eastAsia" w:ascii="仿宋" w:hAnsi="仿宋" w:eastAsia="仿宋" w:cs="仿宋"/>
          <w:b/>
          <w:bCs/>
          <w:kern w:val="0"/>
          <w:sz w:val="24"/>
          <w:szCs w:val="24"/>
        </w:rPr>
        <w:t>4</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排版</w:t>
      </w:r>
      <w:r>
        <w:rPr>
          <w:rFonts w:hint="eastAsia" w:ascii="仿宋" w:hAnsi="仿宋" w:eastAsia="仿宋" w:cs="仿宋"/>
          <w:kern w:val="0"/>
          <w:sz w:val="24"/>
          <w:szCs w:val="24"/>
        </w:rPr>
        <w:t>：建议所有文字及表格采用黑色，正文字体采用宋体小四号字体，标题字体采用宋体小二号字体。页码应逐页连续编注，并应设在每页的页脚正中，页码应采用单纯的阿拉伯数字标示，数字两侧不出现诸如括弧、小横线等其他符号，页码字体为小四号宋体。任何一页上不设置页眉。正文文字说明部分的行距为</w:t>
      </w:r>
      <w:r>
        <w:rPr>
          <w:rFonts w:ascii="仿宋" w:hAnsi="仿宋" w:eastAsia="仿宋" w:cs="仿宋"/>
          <w:kern w:val="0"/>
          <w:sz w:val="24"/>
          <w:szCs w:val="24"/>
        </w:rPr>
        <w:t>1.5</w:t>
      </w:r>
      <w:r>
        <w:rPr>
          <w:rFonts w:hint="eastAsia" w:ascii="仿宋" w:hAnsi="仿宋" w:eastAsia="仿宋" w:cs="仿宋"/>
          <w:kern w:val="0"/>
          <w:sz w:val="24"/>
          <w:szCs w:val="24"/>
        </w:rPr>
        <w:t>倍行距，表格内文字部分的行距为单倍行距。建议投标文件纸张采用白色标准</w:t>
      </w:r>
      <w:r>
        <w:rPr>
          <w:rFonts w:ascii="仿宋" w:hAnsi="仿宋" w:eastAsia="仿宋" w:cs="仿宋"/>
          <w:kern w:val="0"/>
          <w:sz w:val="24"/>
          <w:szCs w:val="24"/>
        </w:rPr>
        <w:t>A4</w:t>
      </w:r>
      <w:r>
        <w:rPr>
          <w:rFonts w:hint="eastAsia" w:ascii="仿宋" w:hAnsi="仿宋" w:eastAsia="仿宋" w:cs="仿宋"/>
          <w:kern w:val="0"/>
          <w:sz w:val="24"/>
          <w:szCs w:val="24"/>
        </w:rPr>
        <w:t>纸（</w:t>
      </w:r>
      <w:r>
        <w:rPr>
          <w:rFonts w:ascii="仿宋" w:hAnsi="仿宋" w:eastAsia="仿宋" w:cs="仿宋"/>
          <w:kern w:val="0"/>
          <w:sz w:val="24"/>
          <w:szCs w:val="24"/>
        </w:rPr>
        <w:t>210</w:t>
      </w:r>
      <w:r>
        <w:rPr>
          <w:rFonts w:hint="eastAsia" w:ascii="仿宋" w:hAnsi="仿宋" w:eastAsia="仿宋" w:cs="仿宋"/>
          <w:kern w:val="0"/>
          <w:sz w:val="24"/>
          <w:szCs w:val="24"/>
        </w:rPr>
        <w:t>×</w:t>
      </w:r>
      <w:r>
        <w:rPr>
          <w:rFonts w:ascii="仿宋" w:hAnsi="仿宋" w:eastAsia="仿宋" w:cs="仿宋"/>
          <w:kern w:val="0"/>
          <w:sz w:val="24"/>
          <w:szCs w:val="24"/>
        </w:rPr>
        <w:t>297mm</w:t>
      </w:r>
      <w:r>
        <w:rPr>
          <w:rFonts w:hint="eastAsia" w:ascii="仿宋" w:hAnsi="仿宋" w:eastAsia="仿宋" w:cs="仿宋"/>
          <w:kern w:val="0"/>
          <w:sz w:val="24"/>
          <w:szCs w:val="24"/>
        </w:rPr>
        <w:t>）。</w:t>
      </w:r>
    </w:p>
    <w:p>
      <w:pPr>
        <w:spacing w:line="360" w:lineRule="auto"/>
        <w:ind w:firstLine="480"/>
        <w:rPr>
          <w:rFonts w:ascii="仿宋" w:hAnsi="仿宋" w:eastAsia="仿宋" w:cs="Times New Roman"/>
          <w:sz w:val="24"/>
          <w:szCs w:val="24"/>
        </w:rPr>
      </w:pPr>
      <w:r>
        <w:rPr>
          <w:rFonts w:ascii="仿宋" w:hAnsi="仿宋" w:eastAsia="仿宋" w:cs="仿宋"/>
          <w:b/>
          <w:bCs/>
          <w:sz w:val="24"/>
          <w:szCs w:val="24"/>
        </w:rPr>
        <w:t>11.</w:t>
      </w:r>
      <w:r>
        <w:rPr>
          <w:rFonts w:hint="eastAsia" w:ascii="仿宋" w:hAnsi="仿宋" w:eastAsia="仿宋" w:cs="仿宋"/>
          <w:b/>
          <w:bCs/>
          <w:sz w:val="24"/>
          <w:szCs w:val="24"/>
        </w:rPr>
        <w:t>5</w:t>
      </w:r>
      <w:r>
        <w:rPr>
          <w:rFonts w:ascii="仿宋" w:hAnsi="仿宋" w:eastAsia="仿宋" w:cs="仿宋"/>
          <w:b/>
          <w:bCs/>
          <w:sz w:val="24"/>
          <w:szCs w:val="24"/>
        </w:rPr>
        <w:t xml:space="preserve"> </w:t>
      </w:r>
      <w:r>
        <w:rPr>
          <w:rFonts w:hint="eastAsia" w:ascii="仿宋" w:hAnsi="仿宋" w:eastAsia="仿宋" w:cs="仿宋"/>
          <w:b/>
          <w:bCs/>
          <w:sz w:val="24"/>
          <w:szCs w:val="24"/>
        </w:rPr>
        <w:t>封面：</w:t>
      </w:r>
      <w:r>
        <w:rPr>
          <w:rFonts w:hint="eastAsia" w:ascii="仿宋" w:hAnsi="仿宋" w:eastAsia="仿宋" w:cs="仿宋"/>
          <w:sz w:val="24"/>
          <w:szCs w:val="24"/>
        </w:rPr>
        <w:t>按照招标文件规定的要求制作封面，并按本章“</w:t>
      </w:r>
      <w:r>
        <w:rPr>
          <w:rFonts w:ascii="仿宋" w:hAnsi="仿宋" w:eastAsia="仿宋" w:cs="仿宋"/>
          <w:sz w:val="24"/>
          <w:szCs w:val="24"/>
        </w:rPr>
        <w:t>16.2.1</w:t>
      </w:r>
      <w:r>
        <w:rPr>
          <w:rFonts w:hint="eastAsia" w:ascii="仿宋" w:hAnsi="仿宋" w:eastAsia="仿宋" w:cs="仿宋"/>
          <w:sz w:val="24"/>
          <w:szCs w:val="24"/>
        </w:rPr>
        <w:t>”点的要求加盖投标人公章和其负责人（或被委托人）签字或盖章。</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12. </w:t>
      </w:r>
      <w:r>
        <w:rPr>
          <w:rFonts w:hint="eastAsia" w:ascii="仿宋" w:hAnsi="仿宋" w:eastAsia="仿宋" w:cs="仿宋"/>
          <w:sz w:val="24"/>
          <w:szCs w:val="24"/>
        </w:rPr>
        <w:t>投标产品（或服务）应符合第二章招标需求的要求。</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12.1 </w:t>
      </w:r>
      <w:r>
        <w:rPr>
          <w:rFonts w:hint="eastAsia" w:ascii="仿宋" w:hAnsi="仿宋" w:eastAsia="仿宋" w:cs="仿宋"/>
          <w:sz w:val="24"/>
          <w:szCs w:val="24"/>
        </w:rPr>
        <w:t>投标人需提交其拟供产品（或服务）所符合招标文件规定的证明文件，其应作为投标文件的一部分。上述文件可以是文字资料、电子文本、图纸和数据。</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13.</w:t>
      </w:r>
      <w:r>
        <w:rPr>
          <w:rFonts w:hint="eastAsia" w:ascii="仿宋" w:hAnsi="仿宋" w:eastAsia="仿宋" w:cs="仿宋"/>
          <w:b/>
          <w:bCs/>
          <w:sz w:val="24"/>
          <w:szCs w:val="24"/>
        </w:rPr>
        <w:t>投标有效期</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13.1</w:t>
      </w:r>
      <w:r>
        <w:rPr>
          <w:rFonts w:hint="eastAsia" w:ascii="仿宋" w:hAnsi="仿宋" w:eastAsia="仿宋" w:cs="仿宋"/>
          <w:kern w:val="0"/>
          <w:sz w:val="24"/>
          <w:szCs w:val="24"/>
        </w:rPr>
        <w:t>投标文件</w:t>
      </w:r>
      <w:r>
        <w:rPr>
          <w:rFonts w:hint="eastAsia" w:ascii="仿宋" w:hAnsi="仿宋" w:eastAsia="仿宋" w:cs="仿宋"/>
          <w:sz w:val="24"/>
          <w:szCs w:val="24"/>
        </w:rPr>
        <w:t>自开标之日起，投标有效期均为</w:t>
      </w:r>
      <w:r>
        <w:rPr>
          <w:rFonts w:ascii="仿宋" w:hAnsi="仿宋" w:eastAsia="仿宋" w:cs="仿宋"/>
          <w:sz w:val="24"/>
          <w:szCs w:val="24"/>
        </w:rPr>
        <w:t>90</w:t>
      </w:r>
      <w:r>
        <w:rPr>
          <w:rFonts w:hint="eastAsia" w:ascii="仿宋" w:hAnsi="仿宋" w:eastAsia="仿宋" w:cs="仿宋"/>
          <w:sz w:val="24"/>
          <w:szCs w:val="24"/>
        </w:rPr>
        <w:t>天。</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14.</w:t>
      </w:r>
      <w:r>
        <w:rPr>
          <w:rFonts w:hint="eastAsia" w:ascii="仿宋" w:hAnsi="仿宋" w:eastAsia="仿宋" w:cs="仿宋"/>
          <w:b/>
          <w:bCs/>
          <w:sz w:val="24"/>
          <w:szCs w:val="24"/>
        </w:rPr>
        <w:t>投标文件的签署及规定</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14.1 </w:t>
      </w:r>
      <w:r>
        <w:rPr>
          <w:rFonts w:hint="eastAsia" w:ascii="仿宋" w:hAnsi="仿宋" w:eastAsia="仿宋" w:cs="仿宋"/>
          <w:kern w:val="0"/>
          <w:sz w:val="24"/>
          <w:szCs w:val="24"/>
        </w:rPr>
        <w:t>投标人应按招标文件规定的内容和要求编制投标文件，每套</w:t>
      </w:r>
      <w:r>
        <w:rPr>
          <w:rFonts w:hint="eastAsia" w:ascii="仿宋" w:hAnsi="仿宋" w:eastAsia="仿宋" w:cs="仿宋"/>
          <w:sz w:val="24"/>
          <w:szCs w:val="24"/>
        </w:rPr>
        <w:t>投标文件</w:t>
      </w:r>
      <w:r>
        <w:rPr>
          <w:rFonts w:hint="eastAsia" w:ascii="仿宋" w:hAnsi="仿宋" w:eastAsia="仿宋" w:cs="仿宋"/>
          <w:kern w:val="0"/>
          <w:sz w:val="24"/>
          <w:szCs w:val="24"/>
        </w:rPr>
        <w:t>须清楚的标明“资格审查文件”、“资信商务及技术文件”、“报价文件”、“正本”、“副本”的字样。若正本和副本有差异，以正本为准。</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14.2 </w:t>
      </w:r>
      <w:r>
        <w:rPr>
          <w:rFonts w:hint="eastAsia" w:ascii="仿宋" w:hAnsi="仿宋" w:eastAsia="仿宋" w:cs="仿宋"/>
          <w:sz w:val="24"/>
          <w:szCs w:val="24"/>
        </w:rPr>
        <w:t>投标文件的正本需打印或印刷，并由负责人（或授权代表）在投标文件相关位置签字或盖章。投标文件的副本可采用正本的复印件。</w:t>
      </w:r>
    </w:p>
    <w:p>
      <w:pPr>
        <w:spacing w:line="360" w:lineRule="auto"/>
        <w:ind w:firstLine="480" w:firstLineChars="200"/>
        <w:rPr>
          <w:rFonts w:ascii="仿宋" w:hAnsi="仿宋" w:eastAsia="仿宋" w:cs="Times New Roman"/>
        </w:rPr>
      </w:pPr>
      <w:r>
        <w:rPr>
          <w:rFonts w:ascii="仿宋" w:hAnsi="仿宋" w:eastAsia="仿宋" w:cs="仿宋"/>
          <w:sz w:val="24"/>
          <w:szCs w:val="24"/>
        </w:rPr>
        <w:t xml:space="preserve">14.3 </w:t>
      </w:r>
      <w:r>
        <w:rPr>
          <w:rFonts w:hint="eastAsia" w:ascii="仿宋" w:hAnsi="仿宋" w:eastAsia="仿宋" w:cs="仿宋"/>
          <w:sz w:val="24"/>
          <w:szCs w:val="24"/>
        </w:rPr>
        <w:t>电报、电话、传真形式的投标概不接受。</w:t>
      </w:r>
      <w:bookmarkStart w:id="144" w:name="EBcf26f66e408a40c9a0b6da14ff78b099"/>
      <w:bookmarkEnd w:id="144"/>
      <w:bookmarkStart w:id="145" w:name="EBc4b37bb6e01e40e49841cd030912a0f0"/>
      <w:bookmarkEnd w:id="145"/>
    </w:p>
    <w:p>
      <w:pPr>
        <w:pStyle w:val="4"/>
        <w:spacing w:before="200" w:after="200"/>
        <w:ind w:firstLine="0" w:firstLineChars="0"/>
        <w:rPr>
          <w:rFonts w:ascii="仿宋" w:hAnsi="仿宋" w:eastAsia="仿宋" w:cs="仿宋"/>
          <w:sz w:val="32"/>
          <w:szCs w:val="32"/>
        </w:rPr>
      </w:pPr>
      <w:bookmarkStart w:id="146" w:name="_Toc13038"/>
      <w:bookmarkStart w:id="147" w:name="_Toc22721"/>
      <w:bookmarkStart w:id="148" w:name="_Toc21099"/>
      <w:bookmarkStart w:id="149" w:name="_Toc493956036"/>
      <w:bookmarkStart w:id="150" w:name="_Toc16538"/>
      <w:bookmarkStart w:id="151" w:name="_Toc16704"/>
      <w:bookmarkStart w:id="152" w:name="_Toc5070"/>
      <w:bookmarkStart w:id="153" w:name="_Toc32187"/>
      <w:bookmarkStart w:id="154" w:name="_Toc32732"/>
      <w:bookmarkStart w:id="155" w:name="_Toc998"/>
      <w:r>
        <w:rPr>
          <w:rFonts w:hint="eastAsia" w:ascii="仿宋" w:hAnsi="仿宋" w:eastAsia="仿宋" w:cs="仿宋"/>
          <w:sz w:val="32"/>
          <w:szCs w:val="32"/>
        </w:rPr>
        <w:t>四、投标保证金</w:t>
      </w:r>
      <w:bookmarkEnd w:id="146"/>
      <w:bookmarkEnd w:id="147"/>
      <w:bookmarkEnd w:id="148"/>
      <w:bookmarkEnd w:id="149"/>
      <w:bookmarkEnd w:id="150"/>
      <w:bookmarkEnd w:id="151"/>
      <w:bookmarkEnd w:id="152"/>
      <w:bookmarkEnd w:id="153"/>
      <w:bookmarkEnd w:id="154"/>
      <w:bookmarkEnd w:id="155"/>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 xml:space="preserve">15.1 </w:t>
      </w:r>
      <w:r>
        <w:rPr>
          <w:rFonts w:hint="eastAsia" w:ascii="仿宋" w:hAnsi="仿宋" w:eastAsia="仿宋" w:cs="仿宋"/>
          <w:sz w:val="24"/>
          <w:szCs w:val="24"/>
        </w:rPr>
        <w:t>投标人按招标文件的规定交纳保证金。否则，其投标将被拒绝。</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15.2 </w:t>
      </w:r>
      <w:r>
        <w:rPr>
          <w:rFonts w:hint="eastAsia" w:ascii="仿宋" w:hAnsi="仿宋" w:eastAsia="仿宋" w:cs="仿宋"/>
          <w:kern w:val="0"/>
          <w:sz w:val="24"/>
          <w:szCs w:val="24"/>
        </w:rPr>
        <w:t>投标保证金按招标公告第“十三”条的规定交纳。</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15.3 </w:t>
      </w:r>
      <w:r>
        <w:rPr>
          <w:rFonts w:hint="eastAsia" w:ascii="仿宋" w:hAnsi="仿宋" w:eastAsia="仿宋" w:cs="仿宋"/>
          <w:sz w:val="24"/>
          <w:szCs w:val="24"/>
        </w:rPr>
        <w:t>本项目中标通知书发出之日起</w:t>
      </w:r>
      <w:r>
        <w:rPr>
          <w:rFonts w:ascii="仿宋" w:hAnsi="仿宋" w:eastAsia="仿宋" w:cs="仿宋"/>
          <w:sz w:val="24"/>
          <w:szCs w:val="24"/>
        </w:rPr>
        <w:t>5</w:t>
      </w:r>
      <w:r>
        <w:rPr>
          <w:rFonts w:hint="eastAsia" w:ascii="仿宋" w:hAnsi="仿宋" w:eastAsia="仿宋" w:cs="仿宋"/>
          <w:sz w:val="24"/>
          <w:szCs w:val="24"/>
        </w:rPr>
        <w:t>个工作日内退还未中标人的投标保证金，自采购合同签订之日起</w:t>
      </w:r>
      <w:r>
        <w:rPr>
          <w:rFonts w:ascii="仿宋" w:hAnsi="仿宋" w:eastAsia="仿宋" w:cs="仿宋"/>
          <w:sz w:val="24"/>
          <w:szCs w:val="24"/>
        </w:rPr>
        <w:t>5</w:t>
      </w:r>
      <w:r>
        <w:rPr>
          <w:rFonts w:hint="eastAsia" w:ascii="仿宋" w:hAnsi="仿宋" w:eastAsia="仿宋" w:cs="仿宋"/>
          <w:sz w:val="24"/>
          <w:szCs w:val="24"/>
        </w:rPr>
        <w:t>个工作日内退还中标人的投标保证金。</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逾期退还投标保证金的，除应当退还投标保证金本金外，还应当按中国人民银行同期贷款基准利率上浮</w:t>
      </w:r>
      <w:r>
        <w:rPr>
          <w:rFonts w:ascii="仿宋" w:hAnsi="仿宋" w:eastAsia="仿宋" w:cs="仿宋"/>
          <w:sz w:val="24"/>
          <w:szCs w:val="24"/>
        </w:rPr>
        <w:t>20</w:t>
      </w:r>
      <w:r>
        <w:rPr>
          <w:rFonts w:hint="eastAsia" w:ascii="仿宋" w:hAnsi="仿宋" w:eastAsia="仿宋" w:cs="仿宋"/>
          <w:sz w:val="24"/>
          <w:szCs w:val="24"/>
        </w:rPr>
        <w:t>％后的利率支付超期资金占用费，但因投标人自身原因导致无法及时退还的除外。</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 </w:t>
      </w:r>
      <w:r>
        <w:rPr>
          <w:rFonts w:hint="eastAsia" w:ascii="仿宋" w:hAnsi="仿宋" w:eastAsia="仿宋" w:cs="仿宋"/>
          <w:b/>
          <w:bCs/>
          <w:sz w:val="24"/>
          <w:szCs w:val="24"/>
        </w:rPr>
        <w:t>投标人有下列情形之一的，投标保证金将不予退还：</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15.4.1 </w:t>
      </w:r>
      <w:r>
        <w:rPr>
          <w:rFonts w:hint="eastAsia" w:ascii="仿宋" w:hAnsi="仿宋" w:eastAsia="仿宋" w:cs="仿宋"/>
          <w:b/>
          <w:bCs/>
          <w:sz w:val="24"/>
          <w:szCs w:val="24"/>
        </w:rPr>
        <w:t>开标后投标人在投标有效期内撤回投标文件的；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15.4.2 </w:t>
      </w:r>
      <w:r>
        <w:rPr>
          <w:rFonts w:hint="eastAsia" w:ascii="仿宋" w:hAnsi="仿宋" w:eastAsia="仿宋" w:cs="仿宋"/>
          <w:b/>
          <w:bCs/>
          <w:sz w:val="24"/>
          <w:szCs w:val="24"/>
        </w:rPr>
        <w:t>中标人无正当理由不与采购人签订合同的；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15.4.3 </w:t>
      </w:r>
      <w:r>
        <w:rPr>
          <w:rFonts w:hint="eastAsia" w:ascii="仿宋" w:hAnsi="仿宋" w:eastAsia="仿宋" w:cs="仿宋"/>
          <w:b/>
          <w:bCs/>
          <w:sz w:val="24"/>
          <w:szCs w:val="24"/>
        </w:rPr>
        <w:t>中标人未按招标文件规定交纳履约保证金的；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15.4.4 </w:t>
      </w:r>
      <w:r>
        <w:rPr>
          <w:rFonts w:hint="eastAsia" w:ascii="仿宋" w:hAnsi="仿宋" w:eastAsia="仿宋" w:cs="仿宋"/>
          <w:b/>
          <w:bCs/>
          <w:sz w:val="24"/>
          <w:szCs w:val="24"/>
        </w:rPr>
        <w:t>违反投标承诺函的相关内容及条款的；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15.4.5 </w:t>
      </w:r>
      <w:r>
        <w:rPr>
          <w:rFonts w:hint="eastAsia" w:ascii="仿宋" w:hAnsi="仿宋" w:eastAsia="仿宋" w:cs="仿宋"/>
          <w:b/>
          <w:bCs/>
          <w:sz w:val="24"/>
          <w:szCs w:val="24"/>
        </w:rPr>
        <w:t>提供虚假材料谋取中标的；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15.4.6 </w:t>
      </w:r>
      <w:r>
        <w:rPr>
          <w:rFonts w:hint="eastAsia" w:ascii="仿宋" w:hAnsi="仿宋" w:eastAsia="仿宋" w:cs="仿宋"/>
          <w:b/>
          <w:bCs/>
          <w:sz w:val="24"/>
          <w:szCs w:val="24"/>
        </w:rPr>
        <w:t>采取不正当手段诋毁、排挤其他投标人的；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15.4.7 </w:t>
      </w:r>
      <w:r>
        <w:rPr>
          <w:rFonts w:hint="eastAsia" w:ascii="仿宋" w:hAnsi="仿宋" w:eastAsia="仿宋" w:cs="仿宋"/>
          <w:b/>
          <w:bCs/>
          <w:sz w:val="24"/>
          <w:szCs w:val="24"/>
        </w:rPr>
        <w:t>与采购人、采购代理机构、其他投标人恶意串通的；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15.4.8 </w:t>
      </w:r>
      <w:r>
        <w:rPr>
          <w:rFonts w:hint="eastAsia" w:ascii="仿宋" w:hAnsi="仿宋" w:eastAsia="仿宋" w:cs="仿宋"/>
          <w:b/>
          <w:bCs/>
          <w:sz w:val="24"/>
          <w:szCs w:val="24"/>
        </w:rPr>
        <w:t>向采购人、采购代理机构行贿或者提供其他不正当利益的；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15.4.9 </w:t>
      </w:r>
      <w:r>
        <w:rPr>
          <w:rFonts w:hint="eastAsia" w:ascii="仿宋" w:hAnsi="仿宋" w:eastAsia="仿宋" w:cs="仿宋"/>
          <w:b/>
          <w:bCs/>
          <w:sz w:val="24"/>
          <w:szCs w:val="24"/>
        </w:rPr>
        <w:t>在招标过程中与采购人进行协商谈判、不按照招标文件和中标人投标文件订立合同，或者与采购人另行订立背离合同实质性内容协议的；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15.4.10 </w:t>
      </w:r>
      <w:r>
        <w:rPr>
          <w:rFonts w:hint="eastAsia" w:ascii="仿宋" w:hAnsi="仿宋" w:eastAsia="仿宋" w:cs="仿宋"/>
          <w:b/>
          <w:bCs/>
          <w:sz w:val="24"/>
          <w:szCs w:val="24"/>
        </w:rPr>
        <w:t>拒绝有关部门监督检查或者提供虚假情况的；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15.4.11 </w:t>
      </w:r>
      <w:r>
        <w:rPr>
          <w:rFonts w:hint="eastAsia" w:ascii="仿宋" w:hAnsi="仿宋" w:eastAsia="仿宋" w:cs="仿宋"/>
          <w:b/>
          <w:bCs/>
          <w:sz w:val="24"/>
          <w:szCs w:val="24"/>
        </w:rPr>
        <w:t>将中标项目转让给他人或者在投标文件中未说明且未经采购人同意将中标项目分包给他人的；</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15.4.12 </w:t>
      </w:r>
      <w:r>
        <w:rPr>
          <w:rFonts w:hint="eastAsia" w:ascii="仿宋" w:hAnsi="仿宋" w:eastAsia="仿宋" w:cs="仿宋"/>
          <w:b/>
          <w:bCs/>
          <w:sz w:val="24"/>
          <w:szCs w:val="24"/>
        </w:rPr>
        <w:t>拒绝履行合同义务的；</w:t>
      </w:r>
    </w:p>
    <w:p>
      <w:pPr>
        <w:spacing w:line="360" w:lineRule="auto"/>
        <w:ind w:firstLine="482" w:firstLineChars="200"/>
      </w:pPr>
      <w:r>
        <w:rPr>
          <w:rFonts w:ascii="仿宋" w:hAnsi="仿宋" w:eastAsia="仿宋" w:cs="仿宋"/>
          <w:b/>
          <w:bCs/>
          <w:sz w:val="24"/>
          <w:szCs w:val="24"/>
        </w:rPr>
        <w:t xml:space="preserve">15.4.13 </w:t>
      </w:r>
      <w:r>
        <w:rPr>
          <w:rFonts w:hint="eastAsia" w:ascii="仿宋" w:hAnsi="仿宋" w:eastAsia="仿宋" w:cs="仿宋"/>
          <w:b/>
          <w:bCs/>
          <w:sz w:val="24"/>
          <w:szCs w:val="24"/>
        </w:rPr>
        <w:t>其他严重扰乱招投标程序的。</w:t>
      </w:r>
    </w:p>
    <w:p>
      <w:pPr>
        <w:pStyle w:val="4"/>
        <w:spacing w:before="200" w:after="200"/>
        <w:ind w:firstLine="0" w:firstLineChars="0"/>
        <w:rPr>
          <w:rFonts w:ascii="仿宋" w:hAnsi="仿宋" w:eastAsia="仿宋" w:cs="Times New Roman"/>
          <w:sz w:val="32"/>
          <w:szCs w:val="32"/>
        </w:rPr>
      </w:pPr>
      <w:bookmarkStart w:id="156" w:name="_Toc56928685"/>
      <w:bookmarkStart w:id="157" w:name="_Toc107820049"/>
      <w:bookmarkStart w:id="158" w:name="_Toc493956037"/>
      <w:bookmarkStart w:id="159" w:name="_Toc8987"/>
      <w:bookmarkStart w:id="160" w:name="_Toc16052"/>
      <w:bookmarkStart w:id="161" w:name="_Toc3068"/>
      <w:bookmarkStart w:id="162" w:name="_Toc17899"/>
      <w:bookmarkStart w:id="163" w:name="_Toc19257"/>
      <w:bookmarkStart w:id="164" w:name="_Toc29003"/>
      <w:bookmarkStart w:id="165" w:name="_Toc4317"/>
      <w:bookmarkStart w:id="166" w:name="_Toc30999"/>
      <w:bookmarkStart w:id="167" w:name="_Toc27871"/>
      <w:r>
        <w:rPr>
          <w:rFonts w:hint="eastAsia" w:ascii="仿宋" w:hAnsi="仿宋" w:eastAsia="仿宋" w:cs="仿宋"/>
          <w:sz w:val="32"/>
          <w:szCs w:val="32"/>
        </w:rPr>
        <w:t>五</w:t>
      </w:r>
      <w:bookmarkEnd w:id="156"/>
      <w:bookmarkEnd w:id="157"/>
      <w:r>
        <w:rPr>
          <w:rFonts w:hint="eastAsia" w:ascii="仿宋" w:hAnsi="仿宋" w:eastAsia="仿宋" w:cs="仿宋"/>
          <w:sz w:val="32"/>
          <w:szCs w:val="32"/>
        </w:rPr>
        <w:t>、投标文件的包装、装订、提交、修改和撤回</w:t>
      </w:r>
      <w:bookmarkEnd w:id="158"/>
      <w:bookmarkEnd w:id="159"/>
      <w:bookmarkEnd w:id="160"/>
      <w:bookmarkEnd w:id="161"/>
      <w:bookmarkEnd w:id="162"/>
      <w:bookmarkEnd w:id="163"/>
      <w:bookmarkEnd w:id="164"/>
      <w:bookmarkEnd w:id="165"/>
      <w:bookmarkEnd w:id="166"/>
      <w:bookmarkEnd w:id="167"/>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16. </w:t>
      </w:r>
      <w:r>
        <w:rPr>
          <w:rFonts w:hint="eastAsia" w:ascii="仿宋" w:hAnsi="仿宋" w:eastAsia="仿宋" w:cs="仿宋"/>
          <w:b/>
          <w:bCs/>
          <w:sz w:val="24"/>
          <w:szCs w:val="24"/>
        </w:rPr>
        <w:t>投标文件的包装、密封、标记和装订</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16.1</w:t>
      </w:r>
      <w:r>
        <w:rPr>
          <w:rFonts w:ascii="仿宋" w:hAnsi="仿宋" w:eastAsia="仿宋" w:cs="仿宋"/>
          <w:kern w:val="0"/>
          <w:sz w:val="24"/>
          <w:szCs w:val="24"/>
        </w:rPr>
        <w:t>投标人提交投标文件</w:t>
      </w:r>
      <w:r>
        <w:rPr>
          <w:rFonts w:hint="eastAsia" w:ascii="仿宋" w:hAnsi="仿宋" w:eastAsia="仿宋" w:cs="仿宋"/>
          <w:sz w:val="24"/>
          <w:szCs w:val="24"/>
        </w:rPr>
        <w:t>按资格审查文件、资信商务及技术文件、报价文件三部分单独密封封装成投标文件。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16.2 </w:t>
      </w:r>
      <w:r>
        <w:rPr>
          <w:rFonts w:hint="eastAsia" w:ascii="仿宋" w:hAnsi="仿宋" w:eastAsia="仿宋" w:cs="仿宋"/>
          <w:sz w:val="24"/>
          <w:szCs w:val="24"/>
        </w:rPr>
        <w:t>投标文件封面及投标文件外层包装制作要求：</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16.2.1 </w:t>
      </w:r>
      <w:r>
        <w:rPr>
          <w:rFonts w:hint="eastAsia" w:ascii="仿宋" w:hAnsi="仿宋" w:eastAsia="仿宋" w:cs="仿宋"/>
          <w:sz w:val="24"/>
          <w:szCs w:val="24"/>
        </w:rPr>
        <w:t>资格审查文件、资信商务及技术文件、报价文件封面上应注明文件名称（即资格审查文件、资信商务及技术文件、报价文件的字样）、项目名称、采购编号、投标人名称（盖章）、负责人（或授权代表）签字或盖章、正副本字样。</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16.2.2 </w:t>
      </w:r>
      <w:r>
        <w:rPr>
          <w:rFonts w:hint="eastAsia" w:ascii="仿宋" w:hAnsi="仿宋" w:eastAsia="仿宋" w:cs="仿宋"/>
          <w:sz w:val="24"/>
          <w:szCs w:val="24"/>
        </w:rPr>
        <w:t>投标文件外层包装应注明文件名称（即资格审查文件、资信商务及技术文件、报价文件的字样）、项目名称、采购编号、投标人名称（盖章）、投标人地址、负责人（或授权代表）签字或盖章和“在（开标时间）之前不得启封”的字样。</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16.3 </w:t>
      </w:r>
      <w:r>
        <w:rPr>
          <w:rFonts w:hint="eastAsia" w:ascii="仿宋" w:hAnsi="仿宋" w:eastAsia="仿宋" w:cs="仿宋"/>
          <w:sz w:val="24"/>
          <w:szCs w:val="24"/>
        </w:rPr>
        <w:t>投标文件统一左侧装订，采用不可拆卸方式装订。</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16.4 </w:t>
      </w:r>
      <w:r>
        <w:rPr>
          <w:rFonts w:hint="eastAsia" w:ascii="仿宋" w:hAnsi="仿宋" w:eastAsia="仿宋" w:cs="仿宋"/>
          <w:sz w:val="24"/>
          <w:szCs w:val="24"/>
        </w:rPr>
        <w:t>超过截止时间送达或未按规定签字、盖章、密封的投标文件将被拒绝。由投标人标记错误造成投标文件被误投或提前拆封的风险由投标人承担。</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16.5 </w:t>
      </w:r>
      <w:r>
        <w:rPr>
          <w:rFonts w:hint="eastAsia" w:ascii="仿宋" w:hAnsi="仿宋" w:eastAsia="仿宋" w:cs="仿宋"/>
          <w:sz w:val="24"/>
          <w:szCs w:val="24"/>
        </w:rPr>
        <w:t>对以下不符合密封、装订、包装要求的投标文件由现场工作人员退还投标人代表人；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16.5.1 </w:t>
      </w:r>
      <w:r>
        <w:rPr>
          <w:rFonts w:hint="eastAsia" w:ascii="仿宋" w:hAnsi="仿宋" w:eastAsia="仿宋" w:cs="仿宋"/>
          <w:sz w:val="24"/>
          <w:szCs w:val="24"/>
        </w:rPr>
        <w:t>未按招标文件规定要求密封的；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16.5.2 </w:t>
      </w:r>
      <w:r>
        <w:rPr>
          <w:rFonts w:hint="eastAsia" w:ascii="仿宋" w:hAnsi="仿宋" w:eastAsia="仿宋" w:cs="仿宋"/>
          <w:sz w:val="24"/>
          <w:szCs w:val="24"/>
        </w:rPr>
        <w:t>未按招标文件规定要求装订的；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16.5.3 </w:t>
      </w:r>
      <w:r>
        <w:rPr>
          <w:rFonts w:hint="eastAsia" w:ascii="仿宋" w:hAnsi="仿宋" w:eastAsia="仿宋" w:cs="仿宋"/>
          <w:sz w:val="24"/>
          <w:szCs w:val="24"/>
        </w:rPr>
        <w:t>未按招标文件要求的份数提交的投标文件；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16.5.4 </w:t>
      </w:r>
      <w:r>
        <w:rPr>
          <w:rFonts w:hint="eastAsia" w:ascii="仿宋" w:hAnsi="仿宋" w:eastAsia="仿宋" w:cs="仿宋"/>
          <w:sz w:val="24"/>
          <w:szCs w:val="24"/>
        </w:rPr>
        <w:t>投标文件中的资格审查文件、资信商务及技术文件、报价文件出现包装混装。</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17. </w:t>
      </w:r>
      <w:r>
        <w:rPr>
          <w:rFonts w:hint="eastAsia" w:ascii="仿宋" w:hAnsi="仿宋" w:eastAsia="仿宋" w:cs="仿宋"/>
          <w:b/>
          <w:bCs/>
          <w:sz w:val="24"/>
          <w:szCs w:val="24"/>
        </w:rPr>
        <w:t>投标文件的提交</w:t>
      </w:r>
    </w:p>
    <w:p>
      <w:pPr>
        <w:spacing w:line="360" w:lineRule="auto"/>
        <w:ind w:firstLine="482" w:firstLineChars="200"/>
        <w:rPr>
          <w:rFonts w:ascii="仿宋" w:hAnsi="仿宋" w:eastAsia="仿宋" w:cs="Times New Roman"/>
          <w:sz w:val="24"/>
          <w:szCs w:val="24"/>
        </w:rPr>
      </w:pPr>
      <w:r>
        <w:rPr>
          <w:rFonts w:hint="eastAsia" w:ascii="仿宋" w:hAnsi="仿宋" w:eastAsia="仿宋" w:cs="仿宋"/>
          <w:b/>
          <w:bCs/>
          <w:kern w:val="0"/>
          <w:sz w:val="24"/>
          <w:szCs w:val="24"/>
        </w:rPr>
        <w:t>▲</w:t>
      </w:r>
      <w:r>
        <w:rPr>
          <w:rFonts w:ascii="仿宋" w:hAnsi="仿宋" w:eastAsia="仿宋" w:cs="仿宋"/>
          <w:kern w:val="0"/>
          <w:sz w:val="24"/>
          <w:szCs w:val="24"/>
        </w:rPr>
        <w:t xml:space="preserve">17.1 </w:t>
      </w:r>
      <w:r>
        <w:rPr>
          <w:rFonts w:hint="eastAsia" w:ascii="仿宋" w:hAnsi="仿宋" w:eastAsia="仿宋" w:cs="仿宋"/>
          <w:kern w:val="0"/>
          <w:sz w:val="24"/>
          <w:szCs w:val="24"/>
        </w:rPr>
        <w:t>在提交</w:t>
      </w:r>
      <w:r>
        <w:rPr>
          <w:rFonts w:hint="eastAsia" w:ascii="仿宋" w:hAnsi="仿宋" w:eastAsia="仿宋" w:cs="仿宋"/>
          <w:sz w:val="24"/>
          <w:szCs w:val="24"/>
        </w:rPr>
        <w:t>投标文件</w:t>
      </w:r>
      <w:r>
        <w:rPr>
          <w:rFonts w:hint="eastAsia" w:ascii="仿宋" w:hAnsi="仿宋" w:eastAsia="仿宋" w:cs="仿宋"/>
          <w:kern w:val="0"/>
          <w:sz w:val="24"/>
          <w:szCs w:val="24"/>
        </w:rPr>
        <w:t>截止时间前，投标人应按招标文件规定的时间和地点提交</w:t>
      </w:r>
      <w:r>
        <w:rPr>
          <w:rFonts w:hint="eastAsia" w:ascii="仿宋" w:hAnsi="仿宋" w:eastAsia="仿宋" w:cs="仿宋"/>
          <w:sz w:val="24"/>
          <w:szCs w:val="24"/>
        </w:rPr>
        <w:t>投标文件</w:t>
      </w:r>
      <w:r>
        <w:rPr>
          <w:rFonts w:hint="eastAsia" w:ascii="仿宋" w:hAnsi="仿宋" w:eastAsia="仿宋" w:cs="仿宋"/>
          <w:kern w:val="0"/>
          <w:sz w:val="24"/>
          <w:szCs w:val="24"/>
        </w:rPr>
        <w:t>。在提交</w:t>
      </w:r>
      <w:r>
        <w:rPr>
          <w:rFonts w:hint="eastAsia" w:ascii="仿宋" w:hAnsi="仿宋" w:eastAsia="仿宋" w:cs="仿宋"/>
          <w:sz w:val="24"/>
          <w:szCs w:val="24"/>
        </w:rPr>
        <w:t>投标文件</w:t>
      </w:r>
      <w:r>
        <w:rPr>
          <w:rFonts w:hint="eastAsia" w:ascii="仿宋" w:hAnsi="仿宋" w:eastAsia="仿宋" w:cs="仿宋"/>
          <w:kern w:val="0"/>
          <w:sz w:val="24"/>
          <w:szCs w:val="24"/>
        </w:rPr>
        <w:t>截止时间后，采购代理机构将拒收投标人的</w:t>
      </w:r>
      <w:r>
        <w:rPr>
          <w:rFonts w:hint="eastAsia" w:ascii="仿宋" w:hAnsi="仿宋" w:eastAsia="仿宋" w:cs="仿宋"/>
          <w:sz w:val="24"/>
          <w:szCs w:val="24"/>
        </w:rPr>
        <w:t>投标文件</w:t>
      </w:r>
      <w:r>
        <w:rPr>
          <w:rFonts w:hint="eastAsia" w:ascii="仿宋" w:hAnsi="仿宋" w:eastAsia="仿宋" w:cs="仿宋"/>
          <w:kern w:val="0"/>
          <w:sz w:val="24"/>
          <w:szCs w:val="24"/>
        </w:rPr>
        <w:t>。</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 xml:space="preserve">17.2 </w:t>
      </w:r>
      <w:r>
        <w:rPr>
          <w:rFonts w:hint="eastAsia" w:ascii="仿宋" w:hAnsi="仿宋" w:eastAsia="仿宋" w:cs="仿宋"/>
          <w:kern w:val="0"/>
          <w:sz w:val="24"/>
          <w:szCs w:val="24"/>
        </w:rPr>
        <w:t>采购代理机构工作人员将做好</w:t>
      </w:r>
      <w:r>
        <w:rPr>
          <w:rFonts w:hint="eastAsia" w:ascii="仿宋" w:hAnsi="仿宋" w:eastAsia="仿宋" w:cs="仿宋"/>
          <w:sz w:val="24"/>
          <w:szCs w:val="24"/>
        </w:rPr>
        <w:t>投标文件</w:t>
      </w:r>
      <w:r>
        <w:rPr>
          <w:rFonts w:hint="eastAsia" w:ascii="仿宋" w:hAnsi="仿宋" w:eastAsia="仿宋" w:cs="仿宋"/>
          <w:kern w:val="0"/>
          <w:sz w:val="24"/>
          <w:szCs w:val="24"/>
        </w:rPr>
        <w:t>签收手续，明确投标文件的提交时间、投标文件的份数、提交人等信息。</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18. </w:t>
      </w:r>
      <w:r>
        <w:rPr>
          <w:rFonts w:hint="eastAsia" w:ascii="仿宋" w:hAnsi="仿宋" w:eastAsia="仿宋" w:cs="仿宋"/>
          <w:b/>
          <w:bCs/>
          <w:sz w:val="24"/>
          <w:szCs w:val="24"/>
        </w:rPr>
        <w:t>投标文件的修改和撤销</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18.1 </w:t>
      </w:r>
      <w:r>
        <w:rPr>
          <w:rFonts w:hint="eastAsia" w:ascii="仿宋" w:hAnsi="仿宋" w:eastAsia="仿宋" w:cs="仿宋"/>
          <w:sz w:val="24"/>
          <w:szCs w:val="24"/>
        </w:rPr>
        <w:t>在提交投标文件截止时间前，投标人可对已提交的</w:t>
      </w:r>
      <w:r>
        <w:rPr>
          <w:rFonts w:hint="eastAsia" w:ascii="仿宋" w:hAnsi="仿宋" w:eastAsia="仿宋" w:cs="仿宋"/>
          <w:kern w:val="0"/>
          <w:sz w:val="24"/>
          <w:szCs w:val="24"/>
        </w:rPr>
        <w:t>投标文件</w:t>
      </w:r>
      <w:r>
        <w:rPr>
          <w:rFonts w:hint="eastAsia" w:ascii="仿宋" w:hAnsi="仿宋" w:eastAsia="仿宋" w:cs="仿宋"/>
          <w:sz w:val="24"/>
          <w:szCs w:val="24"/>
        </w:rPr>
        <w:t>进行补充、修改或撤回，修改或撤回的意思应以书面形式通知采购代理机构。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18.2 </w:t>
      </w:r>
      <w:r>
        <w:rPr>
          <w:rFonts w:hint="eastAsia" w:ascii="仿宋" w:hAnsi="仿宋" w:eastAsia="仿宋" w:cs="仿宋"/>
          <w:sz w:val="24"/>
          <w:szCs w:val="24"/>
        </w:rPr>
        <w:t>修改后重新提交的投标文件应按招标文件的规定编制、密封、标记和提交。</w:t>
      </w:r>
    </w:p>
    <w:p>
      <w:pPr>
        <w:spacing w:line="360" w:lineRule="auto"/>
        <w:ind w:firstLine="482" w:firstLineChars="200"/>
        <w:rPr>
          <w:rFonts w:ascii="仿宋" w:hAnsi="仿宋" w:eastAsia="仿宋" w:cs="Times New Roman"/>
          <w:sz w:val="24"/>
          <w:szCs w:val="24"/>
        </w:rPr>
      </w:pPr>
      <w:r>
        <w:rPr>
          <w:rFonts w:hint="eastAsia" w:ascii="仿宋" w:hAnsi="仿宋" w:eastAsia="仿宋" w:cs="仿宋"/>
          <w:b/>
          <w:bCs/>
          <w:sz w:val="24"/>
          <w:szCs w:val="24"/>
        </w:rPr>
        <w:t>▲</w:t>
      </w:r>
      <w:r>
        <w:rPr>
          <w:rFonts w:ascii="仿宋" w:hAnsi="仿宋" w:eastAsia="仿宋" w:cs="仿宋"/>
          <w:sz w:val="24"/>
          <w:szCs w:val="24"/>
        </w:rPr>
        <w:t xml:space="preserve">18.3 </w:t>
      </w:r>
      <w:r>
        <w:rPr>
          <w:rFonts w:hint="eastAsia" w:ascii="仿宋" w:hAnsi="仿宋" w:eastAsia="仿宋" w:cs="仿宋"/>
          <w:sz w:val="24"/>
          <w:szCs w:val="24"/>
        </w:rPr>
        <w:t>在提交</w:t>
      </w:r>
      <w:r>
        <w:rPr>
          <w:rFonts w:hint="eastAsia" w:ascii="仿宋" w:hAnsi="仿宋" w:eastAsia="仿宋" w:cs="仿宋"/>
          <w:kern w:val="0"/>
          <w:sz w:val="24"/>
          <w:szCs w:val="24"/>
        </w:rPr>
        <w:t>投标文件</w:t>
      </w:r>
      <w:r>
        <w:rPr>
          <w:rFonts w:hint="eastAsia" w:ascii="仿宋" w:hAnsi="仿宋" w:eastAsia="仿宋" w:cs="仿宋"/>
          <w:sz w:val="24"/>
          <w:szCs w:val="24"/>
        </w:rPr>
        <w:t>截止时间后，投标人不得修改、撤回已提交的</w:t>
      </w:r>
      <w:r>
        <w:rPr>
          <w:rFonts w:hint="eastAsia" w:ascii="仿宋" w:hAnsi="仿宋" w:eastAsia="仿宋" w:cs="仿宋"/>
          <w:kern w:val="0"/>
          <w:sz w:val="24"/>
          <w:szCs w:val="24"/>
        </w:rPr>
        <w:t>投标文件</w:t>
      </w:r>
      <w:r>
        <w:rPr>
          <w:rFonts w:hint="eastAsia" w:ascii="仿宋" w:hAnsi="仿宋" w:eastAsia="仿宋" w:cs="仿宋"/>
          <w:sz w:val="24"/>
          <w:szCs w:val="24"/>
        </w:rPr>
        <w:t>。</w:t>
      </w:r>
    </w:p>
    <w:p>
      <w:pPr>
        <w:spacing w:line="360" w:lineRule="auto"/>
        <w:ind w:firstLine="480" w:firstLineChars="200"/>
        <w:rPr>
          <w:rFonts w:ascii="仿宋" w:hAnsi="仿宋" w:eastAsia="仿宋" w:cs="Times New Roman"/>
        </w:rPr>
      </w:pPr>
      <w:r>
        <w:rPr>
          <w:rFonts w:ascii="仿宋" w:hAnsi="仿宋" w:eastAsia="仿宋" w:cs="仿宋"/>
          <w:kern w:val="0"/>
          <w:sz w:val="24"/>
          <w:szCs w:val="24"/>
        </w:rPr>
        <w:t xml:space="preserve">18.4 </w:t>
      </w:r>
      <w:r>
        <w:rPr>
          <w:rFonts w:hint="eastAsia" w:ascii="仿宋" w:hAnsi="仿宋" w:eastAsia="仿宋" w:cs="仿宋"/>
          <w:kern w:val="0"/>
          <w:sz w:val="24"/>
          <w:szCs w:val="24"/>
        </w:rPr>
        <w:t>投标文件不得涂改，若有修改错漏处，须加盖投标人公章或者负责人或被委托人签字或盖章。投标文件因字迹潦草或表达不清所引起的后果由投标人负责。</w:t>
      </w:r>
    </w:p>
    <w:p>
      <w:pPr>
        <w:pStyle w:val="4"/>
        <w:spacing w:before="200" w:after="200"/>
        <w:ind w:firstLine="0" w:firstLineChars="0"/>
        <w:rPr>
          <w:rFonts w:ascii="仿宋" w:hAnsi="仿宋" w:eastAsia="仿宋" w:cs="Times New Roman"/>
          <w:sz w:val="32"/>
          <w:szCs w:val="32"/>
        </w:rPr>
      </w:pPr>
      <w:bookmarkStart w:id="168" w:name="_Toc107820050"/>
      <w:bookmarkStart w:id="169" w:name="_Toc493956038"/>
      <w:bookmarkStart w:id="170" w:name="_Toc23203"/>
      <w:bookmarkStart w:id="171" w:name="_Toc9230"/>
      <w:bookmarkStart w:id="172" w:name="_Toc1115"/>
      <w:bookmarkStart w:id="173" w:name="_Toc14069"/>
      <w:bookmarkStart w:id="174" w:name="_Toc24417"/>
      <w:bookmarkStart w:id="175" w:name="_Toc28856"/>
      <w:bookmarkStart w:id="176" w:name="_Toc12318"/>
      <w:bookmarkStart w:id="177" w:name="_Toc19879"/>
      <w:bookmarkStart w:id="178" w:name="_Toc22896"/>
      <w:r>
        <w:rPr>
          <w:rFonts w:hint="eastAsia" w:ascii="仿宋" w:hAnsi="仿宋" w:eastAsia="仿宋" w:cs="仿宋"/>
          <w:sz w:val="32"/>
          <w:szCs w:val="32"/>
        </w:rPr>
        <w:t>六、开标和</w:t>
      </w:r>
      <w:bookmarkEnd w:id="168"/>
      <w:r>
        <w:rPr>
          <w:rFonts w:hint="eastAsia" w:ascii="仿宋" w:hAnsi="仿宋" w:eastAsia="仿宋" w:cs="仿宋"/>
          <w:sz w:val="32"/>
          <w:szCs w:val="32"/>
        </w:rPr>
        <w:t>评</w:t>
      </w:r>
      <w:bookmarkEnd w:id="169"/>
      <w:r>
        <w:rPr>
          <w:rFonts w:hint="eastAsia" w:ascii="仿宋" w:hAnsi="仿宋" w:eastAsia="仿宋" w:cs="仿宋"/>
          <w:sz w:val="32"/>
          <w:szCs w:val="32"/>
        </w:rPr>
        <w:t>标</w:t>
      </w:r>
      <w:bookmarkEnd w:id="170"/>
      <w:bookmarkEnd w:id="171"/>
      <w:bookmarkEnd w:id="172"/>
      <w:bookmarkEnd w:id="173"/>
      <w:bookmarkEnd w:id="174"/>
      <w:bookmarkEnd w:id="175"/>
      <w:bookmarkEnd w:id="176"/>
      <w:bookmarkEnd w:id="177"/>
      <w:bookmarkEnd w:id="178"/>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19. </w:t>
      </w:r>
      <w:r>
        <w:rPr>
          <w:rFonts w:hint="eastAsia" w:ascii="仿宋" w:hAnsi="仿宋" w:eastAsia="仿宋" w:cs="仿宋"/>
          <w:b/>
          <w:bCs/>
          <w:sz w:val="24"/>
          <w:szCs w:val="24"/>
        </w:rPr>
        <w:t>开标</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9</w:t>
      </w:r>
      <w:r>
        <w:rPr>
          <w:rFonts w:ascii="仿宋" w:hAnsi="仿宋" w:eastAsia="仿宋" w:cs="仿宋"/>
          <w:sz w:val="24"/>
          <w:szCs w:val="24"/>
        </w:rPr>
        <w:t xml:space="preserve">.1 </w:t>
      </w:r>
      <w:r>
        <w:rPr>
          <w:rFonts w:hint="eastAsia" w:ascii="仿宋" w:hAnsi="仿宋" w:eastAsia="仿宋" w:cs="仿宋"/>
          <w:sz w:val="24"/>
          <w:szCs w:val="24"/>
        </w:rPr>
        <w:t>采购代理机构在招标文件规定的时间和地点组织开标。开标时所有投标人应到场，若投标人不派代表参加开标大会的，事后不得对采购相关人员、开标过程和开标结果提出异议。</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9</w:t>
      </w:r>
      <w:r>
        <w:rPr>
          <w:rFonts w:ascii="仿宋" w:hAnsi="仿宋" w:eastAsia="仿宋" w:cs="仿宋"/>
          <w:sz w:val="24"/>
          <w:szCs w:val="24"/>
        </w:rPr>
        <w:t xml:space="preserve">.2 </w:t>
      </w:r>
      <w:r>
        <w:rPr>
          <w:rFonts w:hint="eastAsia" w:ascii="仿宋" w:hAnsi="仿宋" w:eastAsia="仿宋" w:cs="仿宋"/>
          <w:sz w:val="24"/>
          <w:szCs w:val="24"/>
        </w:rPr>
        <w:t>开标会由采购代理机构主持，主持人介绍标前基本情况、投标人名单，宣读开标日程安排，宣布评审期间的有关事项。公布开标会主持人、记录人、监督人等人员名单，应要求投标人代表书面提出其中是否有应当回避的人员。</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投标人认为采购人员及相关人员与其他投标人有利害关系的，可以向采购代理机构书面提出回避申请，并说明理由。</w:t>
      </w:r>
    </w:p>
    <w:p>
      <w:pPr>
        <w:spacing w:line="360" w:lineRule="auto"/>
        <w:ind w:firstLine="480" w:firstLineChars="200"/>
        <w:rPr>
          <w:rFonts w:ascii="仿宋" w:hAnsi="仿宋" w:eastAsia="仿宋" w:cs="Times New Roman"/>
          <w:kern w:val="0"/>
          <w:sz w:val="24"/>
          <w:szCs w:val="24"/>
        </w:rPr>
      </w:pPr>
      <w:r>
        <w:rPr>
          <w:rFonts w:ascii="仿宋" w:hAnsi="仿宋" w:eastAsia="仿宋" w:cs="仿宋"/>
          <w:sz w:val="24"/>
          <w:szCs w:val="24"/>
        </w:rPr>
        <w:t>1</w:t>
      </w:r>
      <w:r>
        <w:rPr>
          <w:rFonts w:hint="eastAsia" w:ascii="仿宋" w:hAnsi="仿宋" w:eastAsia="仿宋" w:cs="仿宋"/>
          <w:sz w:val="24"/>
          <w:szCs w:val="24"/>
        </w:rPr>
        <w:t>9</w:t>
      </w:r>
      <w:r>
        <w:rPr>
          <w:rFonts w:ascii="仿宋" w:hAnsi="仿宋" w:eastAsia="仿宋" w:cs="仿宋"/>
          <w:sz w:val="24"/>
          <w:szCs w:val="24"/>
        </w:rPr>
        <w:t xml:space="preserve">.3 </w:t>
      </w:r>
      <w:r>
        <w:rPr>
          <w:rFonts w:hint="eastAsia" w:ascii="仿宋" w:hAnsi="仿宋" w:eastAsia="仿宋" w:cs="仿宋"/>
          <w:sz w:val="24"/>
          <w:szCs w:val="24"/>
        </w:rPr>
        <w:t>投标文件经投标人或者其推选的代表检查投标文件密封情况，经投标人确认无误后，采购人和采购代理机构按投标文件递交的先后顺序开启投标文件。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9</w:t>
      </w:r>
      <w:r>
        <w:rPr>
          <w:rFonts w:ascii="仿宋" w:hAnsi="仿宋" w:eastAsia="仿宋" w:cs="仿宋"/>
          <w:sz w:val="24"/>
          <w:szCs w:val="24"/>
        </w:rPr>
        <w:t xml:space="preserve">.3.1 </w:t>
      </w:r>
      <w:r>
        <w:rPr>
          <w:rFonts w:hint="eastAsia" w:ascii="仿宋" w:hAnsi="仿宋" w:eastAsia="仿宋" w:cs="仿宋"/>
          <w:sz w:val="24"/>
          <w:szCs w:val="24"/>
        </w:rPr>
        <w:t>投标文件正、副份数不符合要求的，当场退还投标人；</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9</w:t>
      </w:r>
      <w:r>
        <w:rPr>
          <w:rFonts w:ascii="仿宋" w:hAnsi="仿宋" w:eastAsia="仿宋" w:cs="仿宋"/>
          <w:kern w:val="0"/>
          <w:sz w:val="24"/>
          <w:szCs w:val="24"/>
        </w:rPr>
        <w:t xml:space="preserve">.3.2 </w:t>
      </w:r>
      <w:r>
        <w:rPr>
          <w:rFonts w:hint="eastAsia" w:ascii="仿宋" w:hAnsi="仿宋" w:eastAsia="仿宋" w:cs="仿宋"/>
          <w:kern w:val="0"/>
          <w:sz w:val="24"/>
          <w:szCs w:val="24"/>
        </w:rPr>
        <w:t>因投标文件份数不符合要求造成投标人不足三家，按相关规定重新组织招标。</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20. </w:t>
      </w:r>
      <w:r>
        <w:rPr>
          <w:rFonts w:hint="eastAsia" w:ascii="仿宋" w:hAnsi="仿宋" w:eastAsia="仿宋" w:cs="仿宋"/>
          <w:b/>
          <w:bCs/>
          <w:sz w:val="24"/>
          <w:szCs w:val="24"/>
        </w:rPr>
        <w:t>资格审查</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20.1 </w:t>
      </w:r>
      <w:r>
        <w:rPr>
          <w:rFonts w:hint="eastAsia" w:ascii="仿宋" w:hAnsi="仿宋" w:eastAsia="仿宋" w:cs="仿宋"/>
          <w:sz w:val="24"/>
          <w:szCs w:val="24"/>
        </w:rPr>
        <w:t>采购人或采购代理按资格要求和资格审查文件要求对投标人进行资格审查及记录。并当场告知审查结果。</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20.2 </w:t>
      </w:r>
      <w:r>
        <w:rPr>
          <w:rFonts w:hint="eastAsia" w:ascii="仿宋" w:hAnsi="仿宋" w:eastAsia="仿宋" w:cs="仿宋"/>
          <w:sz w:val="24"/>
          <w:szCs w:val="24"/>
        </w:rPr>
        <w:t>经资格审查后合格的投标人不足三家的，不得进入评审，并按相关规定重新组织招标。</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21. </w:t>
      </w:r>
      <w:r>
        <w:rPr>
          <w:rFonts w:hint="eastAsia" w:ascii="仿宋" w:hAnsi="仿宋" w:eastAsia="仿宋" w:cs="仿宋"/>
          <w:b/>
          <w:bCs/>
          <w:sz w:val="24"/>
          <w:szCs w:val="24"/>
        </w:rPr>
        <w:t>评审流程</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21.1</w:t>
      </w:r>
      <w:r>
        <w:rPr>
          <w:rFonts w:hint="eastAsia" w:ascii="仿宋" w:hAnsi="仿宋" w:eastAsia="仿宋" w:cs="仿宋"/>
          <w:kern w:val="0"/>
          <w:sz w:val="24"/>
          <w:szCs w:val="24"/>
        </w:rPr>
        <w:t>采购代理机构和采购人将根据采购项目的特点组建</w:t>
      </w:r>
      <w:r>
        <w:rPr>
          <w:rFonts w:hint="eastAsia" w:ascii="仿宋" w:hAnsi="仿宋" w:eastAsia="仿宋" w:cs="仿宋"/>
          <w:sz w:val="24"/>
          <w:szCs w:val="24"/>
        </w:rPr>
        <w:t>评标委员会</w:t>
      </w:r>
      <w:r>
        <w:rPr>
          <w:rFonts w:hint="eastAsia" w:ascii="仿宋" w:hAnsi="仿宋" w:eastAsia="仿宋" w:cs="仿宋"/>
          <w:kern w:val="0"/>
          <w:sz w:val="24"/>
          <w:szCs w:val="24"/>
        </w:rPr>
        <w:t>，其成员由技术、经济等方面的专家和采购人代表组成。</w:t>
      </w:r>
      <w:r>
        <w:rPr>
          <w:rFonts w:hint="eastAsia" w:ascii="仿宋" w:hAnsi="仿宋" w:eastAsia="仿宋" w:cs="仿宋"/>
          <w:sz w:val="24"/>
          <w:szCs w:val="24"/>
        </w:rPr>
        <w:t>评标委员会</w:t>
      </w:r>
      <w:r>
        <w:rPr>
          <w:rFonts w:hint="eastAsia" w:ascii="仿宋" w:hAnsi="仿宋" w:eastAsia="仿宋" w:cs="仿宋"/>
          <w:kern w:val="0"/>
          <w:sz w:val="24"/>
          <w:szCs w:val="24"/>
        </w:rPr>
        <w:t>对投标文件进行符合性审查、询标、评价和推荐中标候选人。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 </w:t>
      </w:r>
      <w:r>
        <w:rPr>
          <w:rFonts w:hint="eastAsia" w:ascii="仿宋" w:hAnsi="仿宋" w:eastAsia="仿宋" w:cs="仿宋"/>
          <w:sz w:val="24"/>
          <w:szCs w:val="24"/>
        </w:rPr>
        <w:t>评审</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21.2.1 </w:t>
      </w:r>
      <w:r>
        <w:rPr>
          <w:rFonts w:hint="eastAsia" w:ascii="仿宋" w:hAnsi="仿宋" w:eastAsia="仿宋" w:cs="仿宋"/>
          <w:sz w:val="24"/>
          <w:szCs w:val="24"/>
        </w:rPr>
        <w:t>符合性审查</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根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21.2.2 </w:t>
      </w:r>
      <w:r>
        <w:rPr>
          <w:rFonts w:hint="eastAsia" w:ascii="仿宋" w:hAnsi="仿宋" w:eastAsia="仿宋" w:cs="仿宋"/>
          <w:sz w:val="24"/>
          <w:szCs w:val="24"/>
        </w:rPr>
        <w:t>技术文件评审</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评标委员会依据招标文件的规定，对各</w:t>
      </w:r>
      <w:r>
        <w:rPr>
          <w:rFonts w:hint="eastAsia" w:ascii="仿宋" w:hAnsi="仿宋" w:eastAsia="仿宋" w:cs="仿宋"/>
          <w:kern w:val="0"/>
          <w:sz w:val="24"/>
          <w:szCs w:val="24"/>
        </w:rPr>
        <w:t>投标人的</w:t>
      </w:r>
      <w:r>
        <w:rPr>
          <w:rFonts w:hint="eastAsia" w:ascii="仿宋" w:hAnsi="仿宋" w:eastAsia="仿宋" w:cs="仿宋"/>
          <w:sz w:val="24"/>
          <w:szCs w:val="24"/>
        </w:rPr>
        <w:t>技术文件进行独立评审。对各</w:t>
      </w:r>
      <w:r>
        <w:rPr>
          <w:rFonts w:hint="eastAsia" w:ascii="仿宋" w:hAnsi="仿宋" w:eastAsia="仿宋" w:cs="仿宋"/>
          <w:kern w:val="0"/>
          <w:sz w:val="24"/>
          <w:szCs w:val="24"/>
        </w:rPr>
        <w:t>投标文件</w:t>
      </w:r>
      <w:r>
        <w:rPr>
          <w:rFonts w:hint="eastAsia" w:ascii="仿宋" w:hAnsi="仿宋" w:eastAsia="仿宋" w:cs="仿宋"/>
          <w:sz w:val="24"/>
          <w:szCs w:val="24"/>
        </w:rPr>
        <w:t>进行比较和必要的澄清。</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21.2.3 </w:t>
      </w:r>
      <w:r>
        <w:rPr>
          <w:rFonts w:hint="eastAsia" w:ascii="仿宋" w:hAnsi="仿宋" w:eastAsia="仿宋" w:cs="仿宋"/>
          <w:sz w:val="24"/>
          <w:szCs w:val="24"/>
        </w:rPr>
        <w:t>资信及商务文件评审</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评标委员会依据招标文件的规定，对各</w:t>
      </w:r>
      <w:r>
        <w:rPr>
          <w:rFonts w:hint="eastAsia" w:ascii="仿宋" w:hAnsi="仿宋" w:eastAsia="仿宋" w:cs="仿宋"/>
          <w:kern w:val="0"/>
          <w:sz w:val="24"/>
          <w:szCs w:val="24"/>
        </w:rPr>
        <w:t>投标人的</w:t>
      </w:r>
      <w:r>
        <w:rPr>
          <w:rFonts w:hint="eastAsia" w:ascii="仿宋" w:hAnsi="仿宋" w:eastAsia="仿宋" w:cs="仿宋"/>
          <w:sz w:val="24"/>
          <w:szCs w:val="24"/>
        </w:rPr>
        <w:t>资信及商务文件进行评审，对客观分应统一意见后统一给分。</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21.2.4 </w:t>
      </w:r>
      <w:r>
        <w:rPr>
          <w:rFonts w:hint="eastAsia" w:ascii="仿宋" w:hAnsi="仿宋" w:eastAsia="仿宋" w:cs="仿宋"/>
          <w:sz w:val="24"/>
          <w:szCs w:val="24"/>
        </w:rPr>
        <w:t>报价文件评审</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评标委员会依据招标文件的规定，对各投标人的报价的合理性进行审查，必要时可要求投保人对其报价做出澄清、说明。</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22. </w:t>
      </w:r>
      <w:r>
        <w:rPr>
          <w:rFonts w:hint="eastAsia" w:ascii="仿宋" w:hAnsi="仿宋" w:eastAsia="仿宋" w:cs="仿宋"/>
          <w:b/>
          <w:bCs/>
          <w:sz w:val="24"/>
          <w:szCs w:val="24"/>
        </w:rPr>
        <w:t>投标文件的澄清</w:t>
      </w:r>
    </w:p>
    <w:p>
      <w:pPr>
        <w:spacing w:line="360" w:lineRule="auto"/>
        <w:ind w:firstLine="436" w:firstLineChars="182"/>
        <w:rPr>
          <w:rFonts w:ascii="仿宋" w:hAnsi="仿宋" w:eastAsia="仿宋" w:cs="Times New Roman"/>
          <w:sz w:val="24"/>
          <w:szCs w:val="24"/>
        </w:rPr>
      </w:pPr>
      <w:r>
        <w:rPr>
          <w:rFonts w:ascii="仿宋" w:hAnsi="仿宋" w:eastAsia="仿宋" w:cs="仿宋"/>
          <w:sz w:val="24"/>
          <w:szCs w:val="24"/>
        </w:rPr>
        <w:t xml:space="preserve">22.1 </w:t>
      </w:r>
      <w:r>
        <w:rPr>
          <w:rFonts w:hint="eastAsia" w:ascii="仿宋" w:hAnsi="仿宋" w:eastAsia="仿宋" w:cs="仿宋"/>
          <w:sz w:val="24"/>
          <w:szCs w:val="24"/>
        </w:rPr>
        <w:t>对</w:t>
      </w:r>
      <w:r>
        <w:rPr>
          <w:rFonts w:hint="eastAsia" w:ascii="仿宋" w:hAnsi="仿宋" w:eastAsia="仿宋" w:cs="仿宋"/>
          <w:kern w:val="0"/>
          <w:sz w:val="24"/>
          <w:szCs w:val="24"/>
        </w:rPr>
        <w:t>投标文件</w:t>
      </w:r>
      <w:r>
        <w:rPr>
          <w:rFonts w:hint="eastAsia" w:ascii="仿宋" w:hAnsi="仿宋" w:eastAsia="仿宋" w:cs="仿宋"/>
          <w:sz w:val="24"/>
          <w:szCs w:val="24"/>
        </w:rPr>
        <w:t>中含义不明确、同类问题表述不一致或者有明显文字和计算错误的内容，评标委员会应当以书面形式要求投标人作出必要的澄清、说明或者补正。投标人的澄清、说明或者补正应当采用书面形式，并加盖公章，或者负责人或其授权的代表签字。投标人的澄清、说明或者补正不得超出投标文件的范围或者改变投标文件的实质性内容。</w:t>
      </w:r>
    </w:p>
    <w:p>
      <w:pPr>
        <w:spacing w:line="360" w:lineRule="auto"/>
        <w:ind w:firstLine="436" w:firstLineChars="182"/>
        <w:rPr>
          <w:rFonts w:ascii="仿宋" w:hAnsi="仿宋" w:eastAsia="仿宋" w:cs="Times New Roman"/>
          <w:sz w:val="24"/>
          <w:szCs w:val="24"/>
        </w:rPr>
      </w:pPr>
      <w:r>
        <w:rPr>
          <w:rFonts w:ascii="仿宋" w:hAnsi="仿宋" w:eastAsia="仿宋" w:cs="仿宋"/>
          <w:sz w:val="24"/>
          <w:szCs w:val="24"/>
        </w:rPr>
        <w:t xml:space="preserve">22.2 </w:t>
      </w:r>
      <w:r>
        <w:rPr>
          <w:rFonts w:hint="eastAsia" w:ascii="仿宋" w:hAnsi="仿宋" w:eastAsia="仿宋" w:cs="仿宋"/>
          <w:sz w:val="24"/>
          <w:szCs w:val="24"/>
        </w:rPr>
        <w:t>报价算术错误将按以下方法修正：</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r>
        <w:rPr>
          <w:rFonts w:hint="eastAsia" w:ascii="仿宋" w:hAnsi="仿宋" w:eastAsia="仿宋" w:cs="仿宋"/>
          <w:kern w:val="0"/>
          <w:sz w:val="24"/>
          <w:szCs w:val="24"/>
        </w:rPr>
        <w:t>报价文件</w:t>
      </w:r>
      <w:r>
        <w:rPr>
          <w:rFonts w:hint="eastAsia" w:ascii="仿宋" w:hAnsi="仿宋" w:eastAsia="仿宋" w:cs="仿宋"/>
          <w:sz w:val="24"/>
          <w:szCs w:val="24"/>
        </w:rPr>
        <w:t>中开标一览表（报价表）内容与</w:t>
      </w:r>
      <w:r>
        <w:rPr>
          <w:rFonts w:hint="eastAsia" w:ascii="仿宋" w:hAnsi="仿宋" w:eastAsia="仿宋" w:cs="仿宋"/>
          <w:kern w:val="0"/>
          <w:sz w:val="24"/>
          <w:szCs w:val="24"/>
        </w:rPr>
        <w:t>报价</w:t>
      </w:r>
      <w:r>
        <w:rPr>
          <w:rFonts w:hint="eastAsia" w:ascii="仿宋" w:hAnsi="仿宋" w:eastAsia="仿宋" w:cs="仿宋"/>
          <w:sz w:val="24"/>
          <w:szCs w:val="24"/>
        </w:rPr>
        <w:t>明细表相应内容不一致的，以开标一览表（报价表）为准；</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）报价文件的大写金额和小写金额不一致的，以大写金额为准；</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）单价金额小数点或者百分比有明显错位的，以开标一览表（报价表）的总价为准，并修改单价；</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）总价金额与按单价汇总金额不一致的，以单价金额计算结果为准；</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）同时出现两种以上不一致的，按上述顺序修正。</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）对不同文字文本</w:t>
      </w:r>
      <w:r>
        <w:rPr>
          <w:rFonts w:hint="eastAsia" w:ascii="仿宋" w:hAnsi="仿宋" w:eastAsia="仿宋" w:cs="仿宋"/>
          <w:kern w:val="0"/>
          <w:sz w:val="24"/>
          <w:szCs w:val="24"/>
        </w:rPr>
        <w:t>投标文件</w:t>
      </w:r>
      <w:r>
        <w:rPr>
          <w:rFonts w:hint="eastAsia" w:ascii="仿宋" w:hAnsi="仿宋" w:eastAsia="仿宋" w:cs="仿宋"/>
          <w:sz w:val="24"/>
          <w:szCs w:val="24"/>
        </w:rPr>
        <w:t>的解释发生异议的，以中文文本为准。</w:t>
      </w:r>
    </w:p>
    <w:p>
      <w:pPr>
        <w:spacing w:line="360" w:lineRule="auto"/>
        <w:ind w:firstLine="436" w:firstLineChars="182"/>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）修正错误的的投标报价，经投标人的负责人（或授权代表）同意签字确认后产生约束力。调整后的投标报价对投标人具有约束作用。若投标人不接受修正后的投标报价，则其投标将作为无效投标处理。</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23. </w:t>
      </w:r>
      <w:r>
        <w:rPr>
          <w:rFonts w:hint="eastAsia" w:ascii="仿宋" w:hAnsi="仿宋" w:eastAsia="仿宋" w:cs="仿宋"/>
          <w:b/>
          <w:bCs/>
          <w:sz w:val="24"/>
          <w:szCs w:val="24"/>
        </w:rPr>
        <w:t>对投标文件的比较和评估</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23.1</w:t>
      </w:r>
      <w:r>
        <w:rPr>
          <w:rFonts w:hint="eastAsia" w:ascii="仿宋" w:hAnsi="仿宋" w:eastAsia="仿宋" w:cs="仿宋"/>
          <w:sz w:val="24"/>
          <w:szCs w:val="24"/>
        </w:rPr>
        <w:t>评标委员会根据招标文件规定的评审办法和标准、对符合性审查合格投标人的投标文件及澄清答复内容进行商务和技术评估，综合比较与评价，并按照平等、客观、公正的原则对投标文件进行综合评审和评分。</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23.2 </w:t>
      </w:r>
      <w:r>
        <w:rPr>
          <w:rFonts w:hint="eastAsia" w:ascii="仿宋" w:hAnsi="仿宋" w:eastAsia="仿宋" w:cs="仿宋"/>
          <w:b/>
          <w:bCs/>
          <w:sz w:val="24"/>
          <w:szCs w:val="24"/>
        </w:rPr>
        <w:t>相同品牌的产品</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23.2.1</w:t>
      </w:r>
      <w:r>
        <w:rPr>
          <w:rFonts w:ascii="仿宋" w:hAnsi="宋体" w:eastAsia="仿宋" w:cs="宋体"/>
          <w:sz w:val="24"/>
          <w:szCs w:val="24"/>
        </w:rPr>
        <w:t> </w:t>
      </w:r>
      <w:r>
        <w:rPr>
          <w:rFonts w:hint="eastAsia" w:ascii="仿宋" w:hAnsi="仿宋" w:eastAsia="仿宋" w:cs="仿宋"/>
          <w:sz w:val="24"/>
          <w:szCs w:val="24"/>
        </w:rPr>
        <w:t>如多家供应商提供相同品牌的产品参加同一政府采购项目竞争的，应当按一家供应商认定。评审后得分最高供应商获得成交人推荐资格；得分相同时，取报价最低者；报价相同时，取技术文件得分高者；均相同时，随机抽取方式确定。其他同品牌供应商不作为成交候选人。</w:t>
      </w:r>
      <w:r>
        <w:rPr>
          <w:rFonts w:ascii="仿宋" w:hAnsi="仿宋" w:eastAsia="仿宋" w:cs="仿宋"/>
          <w:sz w:val="24"/>
          <w:szCs w:val="24"/>
        </w:rPr>
        <w:br w:type="textWrapping"/>
      </w:r>
      <w:r>
        <w:rPr>
          <w:rFonts w:ascii="仿宋" w:hAnsi="仿宋" w:eastAsia="仿宋" w:cs="仿宋"/>
          <w:sz w:val="24"/>
          <w:szCs w:val="24"/>
        </w:rPr>
        <w:t xml:space="preserve">   23.2.2</w:t>
      </w:r>
      <w:r>
        <w:rPr>
          <w:rFonts w:ascii="仿宋" w:hAnsi="宋体" w:eastAsia="仿宋" w:cs="宋体"/>
          <w:sz w:val="24"/>
          <w:szCs w:val="24"/>
        </w:rPr>
        <w:t> </w:t>
      </w:r>
      <w:r>
        <w:rPr>
          <w:rFonts w:hint="eastAsia" w:ascii="仿宋" w:hAnsi="仿宋" w:eastAsia="仿宋" w:cs="仿宋"/>
          <w:sz w:val="24"/>
          <w:szCs w:val="24"/>
        </w:rPr>
        <w:t>非单一产品采购项目中，采购文件第二章采购内容及清单中标注★的为项目关键核心产品，视为提供的是同品牌的产品，供应商均按一家供应商认定。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非单一产品采购项目中，如项目无标注关键核心产品的，项目采购内容及清单中单一产品品牌相同且报价占项目总报价</w:t>
      </w:r>
      <w:r>
        <w:rPr>
          <w:rFonts w:ascii="仿宋" w:hAnsi="仿宋" w:eastAsia="仿宋" w:cs="仿宋"/>
          <w:sz w:val="24"/>
          <w:szCs w:val="24"/>
        </w:rPr>
        <w:t>50%</w:t>
      </w:r>
      <w:r>
        <w:rPr>
          <w:rFonts w:hint="eastAsia" w:ascii="仿宋" w:hAnsi="仿宋" w:eastAsia="仿宋" w:cs="仿宋"/>
          <w:sz w:val="24"/>
          <w:szCs w:val="24"/>
        </w:rPr>
        <w:t>以上（含本数，下同）的，视为提供的是同品牌的产品；多家供应商中，有一家供应商的报价达到</w:t>
      </w:r>
      <w:r>
        <w:rPr>
          <w:rFonts w:ascii="仿宋" w:hAnsi="仿宋" w:eastAsia="仿宋" w:cs="仿宋"/>
          <w:sz w:val="24"/>
          <w:szCs w:val="24"/>
        </w:rPr>
        <w:t>50%</w:t>
      </w:r>
      <w:r>
        <w:rPr>
          <w:rFonts w:hint="eastAsia" w:ascii="仿宋" w:hAnsi="仿宋" w:eastAsia="仿宋" w:cs="仿宋"/>
          <w:sz w:val="24"/>
          <w:szCs w:val="24"/>
        </w:rPr>
        <w:t>以上，提供同品牌产品的供应商均按一家供应商认定。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23.2.3</w:t>
      </w:r>
      <w:r>
        <w:rPr>
          <w:rFonts w:ascii="仿宋" w:hAnsi="宋体" w:eastAsia="仿宋" w:cs="宋体"/>
          <w:sz w:val="24"/>
          <w:szCs w:val="24"/>
        </w:rPr>
        <w:t> </w:t>
      </w:r>
      <w:r>
        <w:rPr>
          <w:rFonts w:hint="eastAsia" w:ascii="仿宋" w:hAnsi="仿宋" w:eastAsia="仿宋" w:cs="仿宋"/>
          <w:sz w:val="24"/>
          <w:szCs w:val="24"/>
        </w:rPr>
        <w:t>当技术评审时发现多家供应商提供相同品牌的产品参加同一政府采购项目竞争的，或非单一产品采购项目中作为关键核心部分的单一产品品牌相同且有一家以上供应商报价占项目总报价</w:t>
      </w:r>
      <w:r>
        <w:rPr>
          <w:rFonts w:ascii="仿宋" w:hAnsi="仿宋" w:eastAsia="仿宋" w:cs="仿宋"/>
          <w:sz w:val="24"/>
          <w:szCs w:val="24"/>
        </w:rPr>
        <w:t>50%</w:t>
      </w:r>
      <w:r>
        <w:rPr>
          <w:rFonts w:hint="eastAsia" w:ascii="仿宋" w:hAnsi="仿宋" w:eastAsia="仿宋" w:cs="仿宋"/>
          <w:sz w:val="24"/>
          <w:szCs w:val="24"/>
        </w:rPr>
        <w:t>以上的，评审后得分最高为有效供应商，其他同品牌供应商将作为无效响应处理。如按一家有效供应商认定后，造成项目有效供应商不足三家的，项目应予以废标处理。</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24. </w:t>
      </w:r>
      <w:r>
        <w:rPr>
          <w:rFonts w:hint="eastAsia" w:ascii="仿宋" w:hAnsi="仿宋" w:eastAsia="仿宋" w:cs="仿宋"/>
          <w:b/>
          <w:bCs/>
          <w:sz w:val="24"/>
          <w:szCs w:val="24"/>
        </w:rPr>
        <w:t>评标报告</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评标委员会根据全体评审成员签字的原始评审记录和评审结果编写评标报告，并</w:t>
      </w:r>
      <w:r>
        <w:rPr>
          <w:rFonts w:hint="eastAsia" w:ascii="仿宋" w:hAnsi="仿宋" w:eastAsia="仿宋" w:cs="仿宋"/>
          <w:sz w:val="24"/>
          <w:szCs w:val="24"/>
          <w:lang w:eastAsia="zh-CN"/>
        </w:rPr>
        <w:t>按排序</w:t>
      </w:r>
      <w:r>
        <w:rPr>
          <w:rFonts w:hint="eastAsia" w:ascii="仿宋" w:hAnsi="仿宋" w:eastAsia="仿宋" w:cs="仿宋"/>
          <w:sz w:val="24"/>
          <w:szCs w:val="24"/>
        </w:rPr>
        <w:t>推荐</w:t>
      </w:r>
      <w:r>
        <w:rPr>
          <w:rFonts w:hint="eastAsia" w:ascii="仿宋" w:hAnsi="仿宋" w:eastAsia="仿宋" w:cs="仿宋"/>
          <w:sz w:val="24"/>
          <w:szCs w:val="24"/>
          <w:lang w:val="en-US" w:eastAsia="zh-CN"/>
        </w:rPr>
        <w:t>2名</w:t>
      </w:r>
      <w:r>
        <w:rPr>
          <w:rFonts w:hint="eastAsia" w:ascii="仿宋" w:hAnsi="仿宋" w:eastAsia="仿宋" w:cs="仿宋"/>
          <w:sz w:val="24"/>
          <w:szCs w:val="24"/>
        </w:rPr>
        <w:t>中标候选人，</w:t>
      </w:r>
      <w:r>
        <w:rPr>
          <w:rFonts w:hint="eastAsia" w:ascii="仿宋" w:hAnsi="仿宋" w:eastAsia="仿宋" w:cs="仿宋"/>
          <w:kern w:val="2"/>
          <w:sz w:val="24"/>
          <w:szCs w:val="24"/>
          <w:highlight w:val="none"/>
        </w:rPr>
        <w:t>投标文件满足招标文件全部实质性要求，且按照评审因素的量化指标评审得分最高的投标人排名第一的中标候选人。排名第二的投标人为候补中标候选人。</w:t>
      </w:r>
      <w:r>
        <w:rPr>
          <w:rFonts w:hint="eastAsia" w:ascii="仿宋" w:hAnsi="仿宋" w:eastAsia="仿宋" w:cs="仿宋"/>
          <w:sz w:val="24"/>
          <w:szCs w:val="24"/>
        </w:rPr>
        <w:t>评审报告由评标委员会成员签字确认提交。</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25. </w:t>
      </w:r>
      <w:r>
        <w:rPr>
          <w:rFonts w:hint="eastAsia" w:ascii="仿宋" w:hAnsi="仿宋" w:eastAsia="仿宋" w:cs="仿宋"/>
          <w:b/>
          <w:bCs/>
          <w:sz w:val="24"/>
          <w:szCs w:val="24"/>
        </w:rPr>
        <w:t>保密和评审过程的监控</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25.1 </w:t>
      </w:r>
      <w:r>
        <w:rPr>
          <w:rFonts w:hint="eastAsia" w:ascii="仿宋" w:hAnsi="仿宋" w:eastAsia="仿宋" w:cs="仿宋"/>
          <w:sz w:val="24"/>
          <w:szCs w:val="24"/>
        </w:rPr>
        <w:t>自开标时间起至中标结果公告发布时间止，凡属于审查、澄清、评估和比较投标的有关资料，且与授予合同有关的信息都不得向任何投标人或与上述评审过程无关的人员透露。</w:t>
      </w:r>
    </w:p>
    <w:p>
      <w:pPr>
        <w:spacing w:line="360" w:lineRule="auto"/>
        <w:ind w:firstLine="480" w:firstLineChars="200"/>
        <w:rPr>
          <w:rFonts w:ascii="仿宋" w:hAnsi="仿宋" w:eastAsia="仿宋" w:cs="仿宋"/>
          <w:sz w:val="20"/>
          <w:szCs w:val="20"/>
        </w:rPr>
      </w:pPr>
      <w:r>
        <w:rPr>
          <w:rFonts w:ascii="仿宋" w:hAnsi="仿宋" w:eastAsia="仿宋" w:cs="仿宋"/>
          <w:sz w:val="24"/>
          <w:szCs w:val="24"/>
        </w:rPr>
        <w:t xml:space="preserve">25.2 </w:t>
      </w:r>
      <w:r>
        <w:rPr>
          <w:rFonts w:hint="eastAsia" w:ascii="仿宋" w:hAnsi="仿宋" w:eastAsia="仿宋" w:cs="仿宋"/>
          <w:sz w:val="24"/>
          <w:szCs w:val="24"/>
        </w:rPr>
        <w:t>本项目开标、评审过程实行全程录音、录像监控，投标人在开标、评审过程中所进行的试图影响评审结果的不公正行为或授予合同决定的过程施加影响的企图和行为，可能导致其投标被拒绝。</w:t>
      </w:r>
      <w:bookmarkStart w:id="179" w:name="EB50051ac8f4a946c091713b64242fa8f2"/>
      <w:bookmarkEnd w:id="179"/>
      <w:bookmarkStart w:id="180" w:name="EB6abbdb67ad8e4dca83235298b1f0b56f"/>
      <w:bookmarkEnd w:id="180"/>
    </w:p>
    <w:p>
      <w:pPr>
        <w:pStyle w:val="4"/>
        <w:spacing w:before="200" w:after="200"/>
        <w:ind w:firstLine="0" w:firstLineChars="0"/>
        <w:rPr>
          <w:rFonts w:ascii="仿宋" w:hAnsi="仿宋" w:eastAsia="仿宋" w:cs="Times New Roman"/>
          <w:sz w:val="32"/>
          <w:szCs w:val="32"/>
        </w:rPr>
      </w:pPr>
      <w:bookmarkStart w:id="181" w:name="_Toc28986"/>
      <w:bookmarkStart w:id="182" w:name="_Toc16405"/>
      <w:bookmarkStart w:id="183" w:name="_Toc28698"/>
      <w:bookmarkStart w:id="184" w:name="_Toc22805"/>
      <w:bookmarkStart w:id="185" w:name="_Toc2982"/>
      <w:bookmarkStart w:id="186" w:name="_Toc493956039"/>
      <w:bookmarkStart w:id="187" w:name="_Toc382"/>
      <w:bookmarkStart w:id="188" w:name="_Toc11553"/>
      <w:bookmarkStart w:id="189" w:name="_Toc29952"/>
      <w:bookmarkStart w:id="190" w:name="_Toc1833"/>
      <w:r>
        <w:rPr>
          <w:rFonts w:hint="eastAsia" w:ascii="仿宋" w:hAnsi="仿宋" w:eastAsia="仿宋" w:cs="仿宋"/>
          <w:sz w:val="32"/>
          <w:szCs w:val="32"/>
        </w:rPr>
        <w:t>七、投标无效的情形</w:t>
      </w:r>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26. </w:t>
      </w:r>
      <w:r>
        <w:rPr>
          <w:rFonts w:hint="eastAsia" w:ascii="仿宋" w:hAnsi="仿宋" w:eastAsia="仿宋" w:cs="仿宋"/>
          <w:sz w:val="24"/>
          <w:szCs w:val="24"/>
        </w:rPr>
        <w:t>实质上没有响应招标文件要求的投标将被视为无效投标。投标人不得通过修正或撤消不合要求的偏离或保留从而使其投标成为实质上响应的投标。投标人如有下列情形之一的，其投标将被拒绝，投标文件无效：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26.1投标人未按招标文件的要求交纳投标保证金，包括交纳保证金的金额、时间和方式不符合招标文件规定的；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26.2 </w:t>
      </w:r>
      <w:r>
        <w:rPr>
          <w:rFonts w:hint="eastAsia" w:ascii="仿宋" w:hAnsi="仿宋" w:eastAsia="仿宋" w:cs="仿宋"/>
          <w:sz w:val="24"/>
          <w:szCs w:val="24"/>
        </w:rPr>
        <w:t>电报、电话、传真形式的投标。</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26.3 </w:t>
      </w:r>
      <w:r>
        <w:rPr>
          <w:rFonts w:hint="eastAsia" w:ascii="仿宋" w:hAnsi="仿宋" w:eastAsia="仿宋" w:cs="仿宋"/>
          <w:sz w:val="24"/>
          <w:szCs w:val="24"/>
        </w:rPr>
        <w:t>投标人没有按招标文件规定的时间和地点提交</w:t>
      </w:r>
      <w:r>
        <w:rPr>
          <w:rFonts w:hint="eastAsia" w:ascii="仿宋" w:hAnsi="仿宋" w:eastAsia="仿宋" w:cs="仿宋"/>
          <w:kern w:val="0"/>
          <w:sz w:val="24"/>
          <w:szCs w:val="24"/>
        </w:rPr>
        <w:t>投标文件</w:t>
      </w:r>
      <w:r>
        <w:rPr>
          <w:rFonts w:hint="eastAsia" w:ascii="仿宋" w:hAnsi="仿宋" w:eastAsia="仿宋" w:cs="仿宋"/>
          <w:sz w:val="24"/>
          <w:szCs w:val="24"/>
        </w:rPr>
        <w:t>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26.4 </w:t>
      </w:r>
      <w:r>
        <w:rPr>
          <w:rFonts w:hint="eastAsia" w:ascii="仿宋" w:hAnsi="仿宋" w:eastAsia="仿宋" w:cs="仿宋"/>
          <w:sz w:val="24"/>
          <w:szCs w:val="24"/>
        </w:rPr>
        <w:t>未按招标文件规定要求签署、盖章的；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26.5 </w:t>
      </w:r>
      <w:r>
        <w:rPr>
          <w:rFonts w:hint="eastAsia" w:ascii="仿宋" w:hAnsi="仿宋" w:eastAsia="仿宋" w:cs="仿宋"/>
          <w:kern w:val="0"/>
          <w:sz w:val="24"/>
          <w:szCs w:val="24"/>
        </w:rPr>
        <w:t>投标文件</w:t>
      </w:r>
      <w:r>
        <w:rPr>
          <w:rFonts w:hint="eastAsia" w:ascii="仿宋" w:hAnsi="仿宋" w:eastAsia="仿宋" w:cs="仿宋"/>
          <w:sz w:val="24"/>
          <w:szCs w:val="24"/>
        </w:rPr>
        <w:t>无负责人或者授权代表签字或盖章的；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26.6 </w:t>
      </w:r>
      <w:r>
        <w:rPr>
          <w:rFonts w:hint="eastAsia" w:ascii="仿宋" w:hAnsi="仿宋" w:eastAsia="仿宋" w:cs="仿宋"/>
          <w:sz w:val="24"/>
          <w:szCs w:val="24"/>
        </w:rPr>
        <w:t>开启投标文件后，投标文件无法区分正、副本的；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26.7 </w:t>
      </w:r>
      <w:r>
        <w:rPr>
          <w:rFonts w:hint="eastAsia" w:ascii="仿宋" w:hAnsi="仿宋" w:eastAsia="仿宋" w:cs="仿宋"/>
          <w:sz w:val="24"/>
          <w:szCs w:val="24"/>
        </w:rPr>
        <w:t>开启投标文件后，投标文件份数不满足招标文件要求的；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26.8 </w:t>
      </w:r>
      <w:r>
        <w:rPr>
          <w:rFonts w:hint="eastAsia" w:ascii="仿宋" w:hAnsi="仿宋" w:eastAsia="仿宋" w:cs="仿宋"/>
          <w:sz w:val="24"/>
          <w:szCs w:val="24"/>
        </w:rPr>
        <w:t>不具备招标文件规定资格要求的；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26.9 </w:t>
      </w:r>
      <w:r>
        <w:rPr>
          <w:rFonts w:hint="eastAsia" w:ascii="仿宋" w:hAnsi="仿宋" w:eastAsia="仿宋" w:cs="仿宋"/>
          <w:sz w:val="24"/>
          <w:szCs w:val="24"/>
        </w:rPr>
        <w:t>投标有效期不足的；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26.10 </w:t>
      </w:r>
      <w:r>
        <w:rPr>
          <w:rFonts w:hint="eastAsia" w:ascii="仿宋" w:hAnsi="仿宋" w:eastAsia="仿宋" w:cs="仿宋"/>
          <w:sz w:val="24"/>
          <w:szCs w:val="24"/>
        </w:rPr>
        <w:t>采用暗标的项目的技术文件没有采用暗标的；</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26.11 </w:t>
      </w:r>
      <w:r>
        <w:rPr>
          <w:rFonts w:hint="eastAsia" w:ascii="仿宋" w:hAnsi="仿宋" w:eastAsia="仿宋" w:cs="仿宋"/>
          <w:sz w:val="24"/>
          <w:szCs w:val="24"/>
        </w:rPr>
        <w:t>评标委员会评定有实质上“▲”条款的负偏离的；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26.12 </w:t>
      </w:r>
      <w:r>
        <w:rPr>
          <w:rFonts w:hint="eastAsia" w:ascii="仿宋" w:hAnsi="仿宋" w:eastAsia="仿宋" w:cs="仿宋"/>
          <w:sz w:val="24"/>
          <w:szCs w:val="24"/>
        </w:rPr>
        <w:t>评标委员会评定有非实质性负偏离超过招标文件规定项数的；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26.13 </w:t>
      </w:r>
      <w:r>
        <w:rPr>
          <w:rFonts w:hint="eastAsia" w:ascii="仿宋" w:hAnsi="仿宋" w:eastAsia="仿宋" w:cs="仿宋"/>
          <w:sz w:val="24"/>
          <w:szCs w:val="24"/>
        </w:rPr>
        <w:t>投标文件含有采购人不能接受的附加条款的；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26.14 </w:t>
      </w:r>
      <w:r>
        <w:rPr>
          <w:rFonts w:hint="eastAsia" w:ascii="仿宋" w:hAnsi="仿宋" w:eastAsia="仿宋" w:cs="仿宋"/>
          <w:sz w:val="24"/>
          <w:szCs w:val="24"/>
        </w:rPr>
        <w:t>报价超过招标文件中规定的预算金额或者最高限价的；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26.15 </w:t>
      </w:r>
      <w:r>
        <w:rPr>
          <w:rFonts w:hint="eastAsia" w:ascii="仿宋" w:hAnsi="仿宋" w:eastAsia="仿宋" w:cs="仿宋"/>
          <w:kern w:val="0"/>
          <w:sz w:val="24"/>
          <w:szCs w:val="24"/>
        </w:rPr>
        <w:t>招标文件中未要求投标人额外免费、无偿赠送或分项报价为</w:t>
      </w:r>
      <w:r>
        <w:rPr>
          <w:rFonts w:ascii="仿宋" w:hAnsi="仿宋" w:eastAsia="仿宋" w:cs="仿宋"/>
          <w:kern w:val="0"/>
          <w:sz w:val="24"/>
          <w:szCs w:val="24"/>
        </w:rPr>
        <w:t>0</w:t>
      </w:r>
      <w:r>
        <w:rPr>
          <w:rFonts w:hint="eastAsia" w:ascii="仿宋" w:hAnsi="仿宋" w:eastAsia="仿宋" w:cs="仿宋"/>
          <w:kern w:val="0"/>
          <w:sz w:val="24"/>
          <w:szCs w:val="24"/>
        </w:rPr>
        <w:t>元情况的；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26.16 </w:t>
      </w:r>
      <w:r>
        <w:rPr>
          <w:rFonts w:hint="eastAsia" w:ascii="仿宋" w:hAnsi="仿宋" w:eastAsia="仿宋" w:cs="仿宋"/>
          <w:sz w:val="24"/>
          <w:szCs w:val="24"/>
        </w:rPr>
        <w:t>投标报价存在漏项或报价数量少于采购要求的；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26.17 </w:t>
      </w:r>
      <w:r>
        <w:rPr>
          <w:rFonts w:hint="eastAsia" w:ascii="仿宋" w:hAnsi="仿宋" w:eastAsia="仿宋" w:cs="仿宋"/>
          <w:sz w:val="24"/>
          <w:szCs w:val="24"/>
        </w:rPr>
        <w:t>评审时如发现投标人的报价明显高于其市场报价或低于成本价的，且不能合理说明原因和提供证明材料的；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26.18 </w:t>
      </w:r>
      <w:r>
        <w:rPr>
          <w:rFonts w:hint="eastAsia" w:ascii="仿宋" w:hAnsi="仿宋" w:eastAsia="仿宋" w:cs="仿宋"/>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仿宋" w:hAnsi="仿宋" w:eastAsia="仿宋" w:cs="仿宋"/>
          <w:kern w:val="0"/>
          <w:sz w:val="24"/>
          <w:szCs w:val="24"/>
        </w:rPr>
        <w:t>投标文件</w:t>
      </w:r>
      <w:r>
        <w:rPr>
          <w:rFonts w:hint="eastAsia" w:ascii="仿宋" w:hAnsi="仿宋" w:eastAsia="仿宋" w:cs="仿宋"/>
          <w:sz w:val="24"/>
          <w:szCs w:val="24"/>
        </w:rPr>
        <w:t>中予以特别说明的；</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26.19 </w:t>
      </w:r>
      <w:r>
        <w:rPr>
          <w:rFonts w:hint="eastAsia" w:ascii="仿宋" w:hAnsi="仿宋" w:eastAsia="仿宋" w:cs="仿宋"/>
          <w:sz w:val="24"/>
          <w:szCs w:val="24"/>
        </w:rPr>
        <w:t>提供虚假材料谋取中标的；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26.20 </w:t>
      </w:r>
      <w:r>
        <w:rPr>
          <w:rFonts w:hint="eastAsia" w:ascii="仿宋" w:hAnsi="仿宋" w:eastAsia="仿宋" w:cs="仿宋"/>
          <w:sz w:val="24"/>
          <w:szCs w:val="24"/>
        </w:rPr>
        <w:t>在招标过程中与采购人进行协商谈判、不按招标文件和中标人的</w:t>
      </w:r>
      <w:r>
        <w:rPr>
          <w:rFonts w:hint="eastAsia" w:ascii="仿宋" w:hAnsi="仿宋" w:eastAsia="仿宋" w:cs="仿宋"/>
          <w:kern w:val="0"/>
          <w:sz w:val="24"/>
          <w:szCs w:val="24"/>
        </w:rPr>
        <w:t>投标文件</w:t>
      </w:r>
      <w:r>
        <w:rPr>
          <w:rFonts w:hint="eastAsia" w:ascii="仿宋" w:hAnsi="仿宋" w:eastAsia="仿宋" w:cs="仿宋"/>
          <w:sz w:val="24"/>
          <w:szCs w:val="24"/>
        </w:rPr>
        <w:t>订立合同，或者与采购人另行订立背离合同实质性内容的协议的；</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26.21</w:t>
      </w:r>
      <w:r>
        <w:rPr>
          <w:rFonts w:hint="eastAsia" w:ascii="仿宋" w:hAnsi="仿宋" w:eastAsia="仿宋" w:cs="仿宋"/>
          <w:sz w:val="24"/>
          <w:szCs w:val="24"/>
        </w:rPr>
        <w:t>招标文件规定的其他</w:t>
      </w:r>
      <w:r>
        <w:rPr>
          <w:rFonts w:hint="eastAsia" w:ascii="仿宋" w:hAnsi="仿宋" w:eastAsia="仿宋" w:cs="仿宋"/>
          <w:kern w:val="0"/>
          <w:sz w:val="24"/>
          <w:szCs w:val="24"/>
        </w:rPr>
        <w:t>投标文件</w:t>
      </w:r>
      <w:r>
        <w:rPr>
          <w:rFonts w:hint="eastAsia" w:ascii="仿宋" w:hAnsi="仿宋" w:eastAsia="仿宋" w:cs="仿宋"/>
          <w:sz w:val="24"/>
          <w:szCs w:val="24"/>
        </w:rPr>
        <w:t>无效情形。</w:t>
      </w:r>
    </w:p>
    <w:p>
      <w:pPr>
        <w:pStyle w:val="4"/>
        <w:spacing w:before="200" w:after="200"/>
        <w:ind w:firstLine="0" w:firstLineChars="0"/>
        <w:rPr>
          <w:rFonts w:ascii="仿宋" w:hAnsi="仿宋" w:eastAsia="仿宋" w:cs="Times New Roman"/>
          <w:sz w:val="32"/>
          <w:szCs w:val="32"/>
        </w:rPr>
      </w:pPr>
      <w:bookmarkStart w:id="191" w:name="_Toc12242"/>
      <w:bookmarkStart w:id="192" w:name="_Toc4805"/>
      <w:bookmarkStart w:id="193" w:name="_Toc493956040"/>
      <w:bookmarkStart w:id="194" w:name="_Toc18605"/>
      <w:bookmarkStart w:id="195" w:name="_Toc11256"/>
      <w:bookmarkStart w:id="196" w:name="_Toc6725"/>
      <w:bookmarkStart w:id="197" w:name="_Toc20062"/>
      <w:bookmarkStart w:id="198" w:name="_Toc26523"/>
      <w:bookmarkStart w:id="199" w:name="_Toc23226"/>
      <w:bookmarkStart w:id="200" w:name="_Toc23637"/>
      <w:r>
        <w:rPr>
          <w:rFonts w:hint="eastAsia" w:ascii="仿宋" w:hAnsi="仿宋" w:eastAsia="仿宋" w:cs="仿宋"/>
          <w:sz w:val="32"/>
          <w:szCs w:val="32"/>
        </w:rPr>
        <w:t>八、法律责任</w:t>
      </w:r>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 </w:t>
      </w:r>
      <w:r>
        <w:rPr>
          <w:rFonts w:hint="eastAsia" w:ascii="仿宋" w:hAnsi="仿宋" w:eastAsia="仿宋" w:cs="仿宋"/>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27.1 </w:t>
      </w:r>
      <w:r>
        <w:rPr>
          <w:rFonts w:hint="eastAsia" w:ascii="仿宋" w:hAnsi="仿宋" w:eastAsia="仿宋" w:cs="仿宋"/>
          <w:sz w:val="24"/>
          <w:szCs w:val="24"/>
        </w:rPr>
        <w:t>提供虚假材料谋取中标的；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27.2 </w:t>
      </w:r>
      <w:r>
        <w:rPr>
          <w:rFonts w:hint="eastAsia" w:ascii="仿宋" w:hAnsi="仿宋" w:eastAsia="仿宋" w:cs="仿宋"/>
          <w:sz w:val="24"/>
          <w:szCs w:val="24"/>
        </w:rPr>
        <w:t>采取不正当手段诋毁、排挤其他投标人的；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27.3 </w:t>
      </w:r>
      <w:r>
        <w:rPr>
          <w:rFonts w:hint="eastAsia" w:ascii="仿宋" w:hAnsi="仿宋" w:eastAsia="仿宋" w:cs="仿宋"/>
          <w:sz w:val="24"/>
          <w:szCs w:val="24"/>
        </w:rPr>
        <w:t>与采购人、其他投标人或者采购代理机构恶意串通的；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27.4 </w:t>
      </w:r>
      <w:r>
        <w:rPr>
          <w:rFonts w:hint="eastAsia" w:ascii="仿宋" w:hAnsi="仿宋" w:eastAsia="仿宋" w:cs="仿宋"/>
          <w:sz w:val="24"/>
          <w:szCs w:val="24"/>
        </w:rPr>
        <w:t>向采购人、采购代理机构行贿或者提供其他不正当利益的；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27.5 </w:t>
      </w:r>
      <w:r>
        <w:rPr>
          <w:rFonts w:hint="eastAsia" w:ascii="仿宋" w:hAnsi="仿宋" w:eastAsia="仿宋" w:cs="仿宋"/>
          <w:sz w:val="24"/>
          <w:szCs w:val="24"/>
        </w:rPr>
        <w:t>在招标采购过程中与采购人进行协商谈判的；</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27.6 </w:t>
      </w:r>
      <w:r>
        <w:rPr>
          <w:rFonts w:hint="eastAsia" w:ascii="仿宋" w:hAnsi="仿宋" w:eastAsia="仿宋" w:cs="仿宋"/>
          <w:sz w:val="24"/>
          <w:szCs w:val="24"/>
        </w:rPr>
        <w:t>拒绝有关部门监督检查或者提供虚假情况的；</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投标人有前款</w:t>
      </w:r>
      <w:r>
        <w:rPr>
          <w:rFonts w:ascii="仿宋" w:hAnsi="仿宋" w:eastAsia="仿宋" w:cs="仿宋"/>
          <w:sz w:val="24"/>
          <w:szCs w:val="24"/>
        </w:rPr>
        <w:t>27.1</w:t>
      </w:r>
      <w:r>
        <w:rPr>
          <w:rFonts w:hint="eastAsia" w:ascii="仿宋" w:hAnsi="仿宋" w:eastAsia="仿宋" w:cs="仿宋"/>
          <w:sz w:val="24"/>
          <w:szCs w:val="24"/>
        </w:rPr>
        <w:t>至</w:t>
      </w:r>
      <w:r>
        <w:rPr>
          <w:rFonts w:ascii="仿宋" w:hAnsi="仿宋" w:eastAsia="仿宋" w:cs="仿宋"/>
          <w:sz w:val="24"/>
          <w:szCs w:val="24"/>
        </w:rPr>
        <w:t>27.5</w:t>
      </w:r>
      <w:r>
        <w:rPr>
          <w:rFonts w:hint="eastAsia" w:ascii="仿宋" w:hAnsi="仿宋" w:eastAsia="仿宋" w:cs="仿宋"/>
          <w:sz w:val="24"/>
          <w:szCs w:val="24"/>
        </w:rPr>
        <w:t>项情形之一的，中标无效。</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 </w:t>
      </w:r>
      <w:r>
        <w:rPr>
          <w:rFonts w:hint="eastAsia" w:ascii="仿宋" w:hAnsi="仿宋" w:eastAsia="仿宋" w:cs="仿宋"/>
          <w:sz w:val="24"/>
          <w:szCs w:val="24"/>
        </w:rPr>
        <w:t>投标人有下列情形之一的，依照政府采购法第七十七条第一款的规定追究法律责任：</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28.1 </w:t>
      </w:r>
      <w:r>
        <w:rPr>
          <w:rFonts w:hint="eastAsia" w:ascii="仿宋" w:hAnsi="仿宋" w:eastAsia="仿宋" w:cs="仿宋"/>
          <w:sz w:val="24"/>
          <w:szCs w:val="24"/>
        </w:rPr>
        <w:t>向评标委员会或者评标委员会成员行贿或者提供其他不正当利益；</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28.2 </w:t>
      </w:r>
      <w:r>
        <w:rPr>
          <w:rFonts w:hint="eastAsia" w:ascii="仿宋" w:hAnsi="仿宋" w:eastAsia="仿宋" w:cs="仿宋"/>
          <w:sz w:val="24"/>
          <w:szCs w:val="24"/>
        </w:rPr>
        <w:t>中标或者成交后无正当理由拒不与采购人签订政府采购合同；</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28.3 </w:t>
      </w:r>
      <w:r>
        <w:rPr>
          <w:rFonts w:hint="eastAsia" w:ascii="仿宋" w:hAnsi="仿宋" w:eastAsia="仿宋" w:cs="仿宋"/>
          <w:sz w:val="24"/>
          <w:szCs w:val="24"/>
        </w:rPr>
        <w:t>未按照招标文件确定的事项签订政府采购合同；</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28.4 </w:t>
      </w:r>
      <w:r>
        <w:rPr>
          <w:rFonts w:hint="eastAsia" w:ascii="仿宋" w:hAnsi="仿宋" w:eastAsia="仿宋" w:cs="仿宋"/>
          <w:sz w:val="24"/>
          <w:szCs w:val="24"/>
        </w:rPr>
        <w:t>将政府采购合同转包；</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28.5 </w:t>
      </w:r>
      <w:r>
        <w:rPr>
          <w:rFonts w:hint="eastAsia" w:ascii="仿宋" w:hAnsi="仿宋" w:eastAsia="仿宋" w:cs="仿宋"/>
          <w:sz w:val="24"/>
          <w:szCs w:val="24"/>
        </w:rPr>
        <w:t>提供假冒伪劣产品；</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28.6 </w:t>
      </w:r>
      <w:r>
        <w:rPr>
          <w:rFonts w:hint="eastAsia" w:ascii="仿宋" w:hAnsi="仿宋" w:eastAsia="仿宋" w:cs="仿宋"/>
          <w:sz w:val="24"/>
          <w:szCs w:val="24"/>
        </w:rPr>
        <w:t>擅自变更、中止或者终止政府采购合同。</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投标人有前款第一项规定情形的，中标无效。评审阶段资格发生变化，投标人未依照《中华人民共和国政府采购法实施条例》第二十一条的规定通知采购人和采购代理机构的，处以采购金额</w:t>
      </w:r>
      <w:r>
        <w:rPr>
          <w:rFonts w:ascii="仿宋" w:hAnsi="仿宋" w:eastAsia="仿宋" w:cs="仿宋"/>
          <w:sz w:val="24"/>
          <w:szCs w:val="24"/>
        </w:rPr>
        <w:t>5</w:t>
      </w:r>
      <w:r>
        <w:rPr>
          <w:rFonts w:hint="eastAsia" w:ascii="仿宋" w:hAnsi="仿宋" w:eastAsia="仿宋" w:cs="仿宋"/>
          <w:sz w:val="24"/>
          <w:szCs w:val="24"/>
        </w:rPr>
        <w:t>‰的罚款，列入不良行为记录名单，中标无效。</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29. </w:t>
      </w:r>
      <w:r>
        <w:rPr>
          <w:rFonts w:hint="eastAsia" w:ascii="仿宋" w:hAnsi="仿宋" w:eastAsia="仿宋" w:cs="仿宋"/>
          <w:sz w:val="24"/>
          <w:szCs w:val="24"/>
        </w:rPr>
        <w:t>投标人捏造事实、提供虚假材料或者以非法手段取得证明材料进行投诉的，由财政部门列入不良行为记录名单，禁止其</w:t>
      </w:r>
      <w:r>
        <w:rPr>
          <w:rFonts w:ascii="仿宋" w:hAnsi="仿宋" w:eastAsia="仿宋" w:cs="仿宋"/>
          <w:sz w:val="24"/>
          <w:szCs w:val="24"/>
        </w:rPr>
        <w:t>1</w:t>
      </w:r>
      <w:r>
        <w:rPr>
          <w:rFonts w:hint="eastAsia" w:ascii="仿宋" w:hAnsi="仿宋" w:eastAsia="仿宋" w:cs="仿宋"/>
          <w:sz w:val="24"/>
          <w:szCs w:val="24"/>
        </w:rPr>
        <w:t>至</w:t>
      </w:r>
      <w:r>
        <w:rPr>
          <w:rFonts w:ascii="仿宋" w:hAnsi="仿宋" w:eastAsia="仿宋" w:cs="仿宋"/>
          <w:sz w:val="24"/>
          <w:szCs w:val="24"/>
        </w:rPr>
        <w:t>3</w:t>
      </w:r>
      <w:r>
        <w:rPr>
          <w:rFonts w:hint="eastAsia" w:ascii="仿宋" w:hAnsi="仿宋" w:eastAsia="仿宋" w:cs="仿宋"/>
          <w:sz w:val="24"/>
          <w:szCs w:val="24"/>
        </w:rPr>
        <w:t>年内参加政府采购活动。</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 </w:t>
      </w:r>
      <w:r>
        <w:rPr>
          <w:rFonts w:hint="eastAsia" w:ascii="仿宋" w:hAnsi="仿宋" w:eastAsia="仿宋" w:cs="仿宋"/>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30.1</w:t>
      </w:r>
      <w:r>
        <w:rPr>
          <w:rFonts w:hint="eastAsia" w:ascii="仿宋" w:hAnsi="仿宋" w:eastAsia="仿宋" w:cs="仿宋"/>
          <w:sz w:val="24"/>
          <w:szCs w:val="24"/>
        </w:rPr>
        <w:t>投标人直接或者间接从采购人或者采购代理机构处获得其他投标人的相关情况并修改其</w:t>
      </w:r>
      <w:r>
        <w:rPr>
          <w:rFonts w:hint="eastAsia" w:ascii="仿宋" w:hAnsi="仿宋" w:eastAsia="仿宋" w:cs="仿宋"/>
          <w:kern w:val="0"/>
          <w:sz w:val="24"/>
          <w:szCs w:val="24"/>
        </w:rPr>
        <w:t>投标文件</w:t>
      </w:r>
      <w:r>
        <w:rPr>
          <w:rFonts w:hint="eastAsia" w:ascii="仿宋" w:hAnsi="仿宋" w:eastAsia="仿宋" w:cs="仿宋"/>
          <w:sz w:val="24"/>
          <w:szCs w:val="24"/>
        </w:rPr>
        <w:t>；</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30.2 </w:t>
      </w:r>
      <w:r>
        <w:rPr>
          <w:rFonts w:hint="eastAsia" w:ascii="仿宋" w:hAnsi="仿宋" w:eastAsia="仿宋" w:cs="仿宋"/>
          <w:sz w:val="24"/>
          <w:szCs w:val="24"/>
        </w:rPr>
        <w:t>投标人按照采购人或者采购代理机构的授意撤换、修改</w:t>
      </w:r>
      <w:r>
        <w:rPr>
          <w:rFonts w:hint="eastAsia" w:ascii="仿宋" w:hAnsi="仿宋" w:eastAsia="仿宋" w:cs="仿宋"/>
          <w:kern w:val="0"/>
          <w:sz w:val="24"/>
          <w:szCs w:val="24"/>
        </w:rPr>
        <w:t>投标文件</w:t>
      </w:r>
      <w:r>
        <w:rPr>
          <w:rFonts w:hint="eastAsia" w:ascii="仿宋" w:hAnsi="仿宋" w:eastAsia="仿宋" w:cs="仿宋"/>
          <w:sz w:val="24"/>
          <w:szCs w:val="24"/>
        </w:rPr>
        <w:t>；</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30.3 </w:t>
      </w:r>
      <w:r>
        <w:rPr>
          <w:rFonts w:hint="eastAsia" w:ascii="仿宋" w:hAnsi="仿宋" w:eastAsia="仿宋" w:cs="仿宋"/>
          <w:sz w:val="24"/>
          <w:szCs w:val="24"/>
        </w:rPr>
        <w:t>投标人之间协商报价、技术方案等</w:t>
      </w:r>
      <w:r>
        <w:rPr>
          <w:rFonts w:hint="eastAsia" w:ascii="仿宋" w:hAnsi="仿宋" w:eastAsia="仿宋" w:cs="仿宋"/>
          <w:kern w:val="0"/>
          <w:sz w:val="24"/>
          <w:szCs w:val="24"/>
        </w:rPr>
        <w:t>投标文件</w:t>
      </w:r>
      <w:r>
        <w:rPr>
          <w:rFonts w:hint="eastAsia" w:ascii="仿宋" w:hAnsi="仿宋" w:eastAsia="仿宋" w:cs="仿宋"/>
          <w:sz w:val="24"/>
          <w:szCs w:val="24"/>
        </w:rPr>
        <w:t>的实质性内容；</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30.4 </w:t>
      </w:r>
      <w:r>
        <w:rPr>
          <w:rFonts w:hint="eastAsia" w:ascii="仿宋" w:hAnsi="仿宋" w:eastAsia="仿宋" w:cs="仿宋"/>
          <w:sz w:val="24"/>
          <w:szCs w:val="24"/>
        </w:rPr>
        <w:t>属于同一集团、协会、商会等组织成员的投标人按照该组织要求协同参加政府采购活动；</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30.5 </w:t>
      </w:r>
      <w:r>
        <w:rPr>
          <w:rFonts w:hint="eastAsia" w:ascii="仿宋" w:hAnsi="仿宋" w:eastAsia="仿宋" w:cs="仿宋"/>
          <w:sz w:val="24"/>
          <w:szCs w:val="24"/>
        </w:rPr>
        <w:t>投标人之间事先约定由某一特定投标人中标、成交；</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30.6 </w:t>
      </w:r>
      <w:r>
        <w:rPr>
          <w:rFonts w:hint="eastAsia" w:ascii="仿宋" w:hAnsi="仿宋" w:eastAsia="仿宋" w:cs="仿宋"/>
          <w:sz w:val="24"/>
          <w:szCs w:val="24"/>
        </w:rPr>
        <w:t>投标人之间商定部分投标人放弃参加政府采购活动或者放弃中标、成交；</w:t>
      </w:r>
    </w:p>
    <w:p>
      <w:pPr>
        <w:spacing w:line="360" w:lineRule="auto"/>
        <w:ind w:firstLine="480" w:firstLineChars="200"/>
        <w:rPr>
          <w:rFonts w:ascii="仿宋" w:hAnsi="仿宋" w:eastAsia="仿宋" w:cs="Times New Roman"/>
          <w:sz w:val="20"/>
          <w:szCs w:val="20"/>
        </w:rPr>
      </w:pPr>
      <w:r>
        <w:rPr>
          <w:rFonts w:ascii="仿宋" w:hAnsi="仿宋" w:eastAsia="仿宋" w:cs="仿宋"/>
          <w:sz w:val="24"/>
          <w:szCs w:val="24"/>
        </w:rPr>
        <w:t>30.7</w:t>
      </w:r>
      <w:r>
        <w:rPr>
          <w:rFonts w:hint="eastAsia" w:ascii="仿宋" w:hAnsi="仿宋" w:eastAsia="仿宋" w:cs="仿宋"/>
          <w:sz w:val="24"/>
          <w:szCs w:val="24"/>
        </w:rPr>
        <w:t>投标人与采购人或者采购代理机构之间、投标人相互之间，为谋求特定投标人中标、成交或者排斥其他投标人的其他串通行为；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30.8 </w:t>
      </w:r>
      <w:r>
        <w:rPr>
          <w:rFonts w:hint="eastAsia" w:ascii="仿宋" w:hAnsi="仿宋" w:eastAsia="仿宋" w:cs="仿宋"/>
          <w:sz w:val="24"/>
          <w:szCs w:val="24"/>
        </w:rPr>
        <w:t>不同投标人的投标文件由同一单位或者个人编制；</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30.9 </w:t>
      </w:r>
      <w:r>
        <w:rPr>
          <w:rFonts w:hint="eastAsia" w:ascii="仿宋" w:hAnsi="仿宋" w:eastAsia="仿宋" w:cs="仿宋"/>
          <w:sz w:val="24"/>
          <w:szCs w:val="24"/>
        </w:rPr>
        <w:t>不同投标人委托同一单位或者个人办理投标事宜；</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30.10 </w:t>
      </w:r>
      <w:r>
        <w:rPr>
          <w:rFonts w:hint="eastAsia" w:ascii="仿宋" w:hAnsi="仿宋" w:eastAsia="仿宋" w:cs="仿宋"/>
          <w:sz w:val="24"/>
          <w:szCs w:val="24"/>
        </w:rPr>
        <w:t>不同投标人的投标文件载明的项目管理成员或者联系人员为同一人；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30.11 </w:t>
      </w:r>
      <w:r>
        <w:rPr>
          <w:rFonts w:hint="eastAsia" w:ascii="仿宋" w:hAnsi="仿宋" w:eastAsia="仿宋" w:cs="仿宋"/>
          <w:sz w:val="24"/>
          <w:szCs w:val="24"/>
        </w:rPr>
        <w:t>不同投标人的投标文件异常一致或者投标报价呈规律性差异；</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30.12 </w:t>
      </w:r>
      <w:r>
        <w:rPr>
          <w:rFonts w:hint="eastAsia" w:ascii="仿宋" w:hAnsi="仿宋" w:eastAsia="仿宋" w:cs="仿宋"/>
          <w:sz w:val="24"/>
          <w:szCs w:val="24"/>
        </w:rPr>
        <w:t>不同投标人的投标文件相互混装；</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30.13 </w:t>
      </w:r>
      <w:r>
        <w:rPr>
          <w:rFonts w:hint="eastAsia" w:ascii="仿宋" w:hAnsi="仿宋" w:eastAsia="仿宋" w:cs="仿宋"/>
          <w:sz w:val="24"/>
          <w:szCs w:val="24"/>
        </w:rPr>
        <w:t>不同投标人的投标保证金从同一单位或者个人的账户转出。</w:t>
      </w:r>
    </w:p>
    <w:p>
      <w:pPr>
        <w:pStyle w:val="4"/>
        <w:spacing w:before="200" w:after="200"/>
        <w:ind w:firstLine="0" w:firstLineChars="0"/>
        <w:rPr>
          <w:rFonts w:ascii="仿宋" w:hAnsi="仿宋" w:eastAsia="仿宋" w:cs="Times New Roman"/>
          <w:sz w:val="32"/>
          <w:szCs w:val="32"/>
        </w:rPr>
      </w:pPr>
      <w:bookmarkStart w:id="201" w:name="_Toc11705"/>
      <w:bookmarkStart w:id="202" w:name="_Toc12685"/>
      <w:bookmarkStart w:id="203" w:name="_Toc14416"/>
      <w:bookmarkStart w:id="204" w:name="_Toc18876"/>
      <w:bookmarkStart w:id="205" w:name="_Toc25660"/>
      <w:bookmarkStart w:id="206" w:name="_Toc493956041"/>
      <w:bookmarkStart w:id="207" w:name="_Toc5011"/>
      <w:bookmarkStart w:id="208" w:name="_Toc11975"/>
      <w:bookmarkStart w:id="209" w:name="_Toc25128"/>
      <w:bookmarkStart w:id="210" w:name="_Toc28729"/>
      <w:r>
        <w:rPr>
          <w:rFonts w:hint="eastAsia" w:ascii="仿宋" w:hAnsi="仿宋" w:eastAsia="仿宋" w:cs="仿宋"/>
          <w:sz w:val="32"/>
          <w:szCs w:val="32"/>
        </w:rPr>
        <w:t>九、行贿犯罪档案查询</w:t>
      </w:r>
      <w:bookmarkEnd w:id="201"/>
      <w:bookmarkEnd w:id="202"/>
      <w:bookmarkEnd w:id="203"/>
      <w:bookmarkEnd w:id="204"/>
      <w:bookmarkEnd w:id="205"/>
      <w:bookmarkEnd w:id="206"/>
      <w:bookmarkEnd w:id="207"/>
      <w:bookmarkEnd w:id="208"/>
      <w:bookmarkEnd w:id="209"/>
      <w:bookmarkEnd w:id="210"/>
    </w:p>
    <w:p>
      <w:pPr>
        <w:spacing w:line="360" w:lineRule="auto"/>
        <w:ind w:firstLine="480" w:firstLineChars="200"/>
        <w:rPr>
          <w:rFonts w:ascii="仿宋" w:hAnsi="仿宋" w:eastAsia="仿宋" w:cs="Times New Roman"/>
        </w:rPr>
      </w:pPr>
      <w:r>
        <w:rPr>
          <w:rFonts w:ascii="仿宋" w:hAnsi="仿宋" w:eastAsia="仿宋" w:cs="仿宋"/>
          <w:sz w:val="24"/>
          <w:szCs w:val="24"/>
        </w:rPr>
        <w:t xml:space="preserve">31. </w:t>
      </w:r>
      <w:r>
        <w:rPr>
          <w:rFonts w:hint="eastAsia" w:ascii="仿宋" w:hAnsi="仿宋" w:eastAsia="仿宋" w:cs="仿宋"/>
          <w:sz w:val="24"/>
          <w:szCs w:val="24"/>
        </w:rPr>
        <w:t>中标结果公告前采购代理机构将对中标候选人进行行贿犯罪档案查询。如有行贿犯罪纪录的，将按有关法律、法规及有关文件规定办理。</w:t>
      </w:r>
      <w:bookmarkStart w:id="211" w:name="EBf2504dd3c84b46f3bbb21a516b8a9be7"/>
      <w:bookmarkEnd w:id="211"/>
    </w:p>
    <w:p>
      <w:pPr>
        <w:pStyle w:val="4"/>
        <w:spacing w:before="200" w:after="200"/>
        <w:ind w:firstLine="0" w:firstLineChars="0"/>
        <w:rPr>
          <w:rFonts w:ascii="仿宋" w:hAnsi="仿宋" w:eastAsia="仿宋" w:cs="Times New Roman"/>
          <w:sz w:val="32"/>
          <w:szCs w:val="32"/>
        </w:rPr>
      </w:pPr>
      <w:bookmarkStart w:id="212" w:name="_Toc14392"/>
      <w:bookmarkStart w:id="213" w:name="_Toc10911"/>
      <w:bookmarkStart w:id="214" w:name="_Toc795"/>
      <w:bookmarkStart w:id="215" w:name="_Toc22981"/>
      <w:bookmarkStart w:id="216" w:name="_Toc7901"/>
      <w:bookmarkStart w:id="217" w:name="_Toc19542"/>
      <w:bookmarkStart w:id="218" w:name="_Toc20520"/>
      <w:bookmarkStart w:id="219" w:name="_Toc9965"/>
      <w:bookmarkStart w:id="220" w:name="_Toc493956042"/>
      <w:bookmarkStart w:id="221" w:name="_Toc10881"/>
      <w:r>
        <w:rPr>
          <w:rFonts w:hint="eastAsia" w:ascii="仿宋" w:hAnsi="仿宋" w:eastAsia="仿宋" w:cs="仿宋"/>
          <w:sz w:val="32"/>
          <w:szCs w:val="32"/>
        </w:rPr>
        <w:t>十、询问</w:t>
      </w:r>
      <w:bookmarkEnd w:id="212"/>
      <w:bookmarkEnd w:id="213"/>
      <w:bookmarkEnd w:id="214"/>
      <w:bookmarkEnd w:id="215"/>
      <w:bookmarkEnd w:id="216"/>
      <w:bookmarkEnd w:id="217"/>
      <w:bookmarkEnd w:id="218"/>
      <w:bookmarkEnd w:id="219"/>
      <w:bookmarkEnd w:id="220"/>
      <w:bookmarkEnd w:id="221"/>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32. </w:t>
      </w:r>
      <w:r>
        <w:rPr>
          <w:rFonts w:hint="eastAsia" w:ascii="仿宋" w:hAnsi="仿宋" w:eastAsia="仿宋" w:cs="仿宋"/>
          <w:sz w:val="24"/>
          <w:szCs w:val="24"/>
        </w:rPr>
        <w:t>投标人有权就采购活动的事项提出询问。</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32.1 </w:t>
      </w:r>
      <w:r>
        <w:rPr>
          <w:rFonts w:hint="eastAsia" w:ascii="仿宋" w:hAnsi="仿宋" w:eastAsia="仿宋" w:cs="仿宋"/>
          <w:sz w:val="24"/>
          <w:szCs w:val="24"/>
        </w:rPr>
        <w:t>投标人对采购活动事项有疑问的，可向采购代理机构提出询问，但答复的内容不涉及商业秘密。</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32.2 </w:t>
      </w:r>
      <w:r>
        <w:rPr>
          <w:rFonts w:hint="eastAsia" w:ascii="仿宋" w:hAnsi="仿宋" w:eastAsia="仿宋" w:cs="仿宋"/>
          <w:sz w:val="24"/>
          <w:szCs w:val="24"/>
        </w:rPr>
        <w:t>对招标文件有疑问的，应在规定的时间内向采购代理机构书面提出。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32.2.1 </w:t>
      </w:r>
      <w:r>
        <w:rPr>
          <w:rFonts w:hint="eastAsia" w:ascii="仿宋" w:hAnsi="仿宋" w:eastAsia="仿宋" w:cs="仿宋"/>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 xml:space="preserve">32.2.2 </w:t>
      </w:r>
      <w:r>
        <w:rPr>
          <w:rFonts w:hint="eastAsia" w:ascii="仿宋" w:hAnsi="仿宋" w:eastAsia="仿宋" w:cs="仿宋"/>
          <w:kern w:val="0"/>
          <w:sz w:val="24"/>
          <w:szCs w:val="24"/>
        </w:rPr>
        <w:t>采购代理机构将在提交投标文件的截止时间十五日前对投标人澄清的要求予以答复，答复内容将在“丽水市公共资源交易网”（</w:t>
      </w:r>
      <w:r>
        <w:rPr>
          <w:rFonts w:ascii="仿宋" w:hAnsi="仿宋" w:eastAsia="仿宋" w:cs="仿宋"/>
          <w:kern w:val="0"/>
          <w:sz w:val="24"/>
          <w:szCs w:val="24"/>
        </w:rPr>
        <w:t>www.lssggzy.com</w:t>
      </w:r>
      <w:r>
        <w:rPr>
          <w:rFonts w:hint="eastAsia" w:ascii="仿宋" w:hAnsi="仿宋" w:eastAsia="仿宋" w:cs="仿宋"/>
          <w:kern w:val="0"/>
          <w:sz w:val="24"/>
          <w:szCs w:val="24"/>
        </w:rPr>
        <w:t>）上予以公布。潜在投标人应自行关注网站更正公告、答疑文件等内容，采购人不再一一通知。</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32.3 </w:t>
      </w:r>
      <w:r>
        <w:rPr>
          <w:rFonts w:hint="eastAsia" w:ascii="仿宋" w:hAnsi="仿宋" w:eastAsia="仿宋" w:cs="仿宋"/>
          <w:sz w:val="24"/>
          <w:szCs w:val="24"/>
        </w:rPr>
        <w:t>投标人提出的询问超出采购人对采购代理机构委托授权范围的，采购代理机构应当告知投标人向采购人提出。</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采购人或者采购代理机构应当在</w:t>
      </w:r>
      <w:r>
        <w:rPr>
          <w:rFonts w:ascii="仿宋" w:hAnsi="仿宋" w:eastAsia="仿宋" w:cs="仿宋"/>
          <w:sz w:val="24"/>
          <w:szCs w:val="24"/>
        </w:rPr>
        <w:t>3</w:t>
      </w:r>
      <w:r>
        <w:rPr>
          <w:rFonts w:hint="eastAsia" w:ascii="仿宋" w:hAnsi="仿宋" w:eastAsia="仿宋" w:cs="仿宋"/>
          <w:sz w:val="24"/>
          <w:szCs w:val="24"/>
        </w:rPr>
        <w:t>个工作日内对投标人依法提出的询问作出答复。</w:t>
      </w:r>
    </w:p>
    <w:p>
      <w:pPr>
        <w:spacing w:line="360" w:lineRule="auto"/>
        <w:ind w:firstLine="480" w:firstLineChars="200"/>
        <w:rPr>
          <w:rFonts w:ascii="仿宋" w:hAnsi="仿宋" w:eastAsia="仿宋" w:cs="Times New Roman"/>
        </w:rPr>
      </w:pPr>
      <w:r>
        <w:rPr>
          <w:rFonts w:ascii="仿宋" w:hAnsi="仿宋" w:eastAsia="仿宋" w:cs="仿宋"/>
          <w:sz w:val="24"/>
          <w:szCs w:val="24"/>
        </w:rPr>
        <w:t xml:space="preserve">32.4 </w:t>
      </w:r>
      <w:r>
        <w:rPr>
          <w:rFonts w:hint="eastAsia" w:ascii="仿宋" w:hAnsi="仿宋" w:eastAsia="仿宋" w:cs="仿宋"/>
          <w:sz w:val="24"/>
          <w:szCs w:val="24"/>
        </w:rPr>
        <w:t>政府采购评审专家应当配合采购人或者采购代理机构答复投标人的询问。</w:t>
      </w:r>
    </w:p>
    <w:p>
      <w:pPr>
        <w:pStyle w:val="4"/>
        <w:keepNext w:val="0"/>
        <w:keepLines w:val="0"/>
        <w:spacing w:before="200" w:after="200"/>
        <w:ind w:firstLine="0" w:firstLineChars="0"/>
        <w:rPr>
          <w:rFonts w:ascii="仿宋" w:hAnsi="仿宋" w:eastAsia="仿宋" w:cs="Times New Roman"/>
          <w:sz w:val="32"/>
          <w:szCs w:val="32"/>
        </w:rPr>
      </w:pPr>
      <w:bookmarkStart w:id="222" w:name="_Toc23445"/>
      <w:bookmarkStart w:id="223" w:name="_Toc23756"/>
      <w:bookmarkStart w:id="224" w:name="_Toc23644"/>
      <w:bookmarkStart w:id="225" w:name="_Toc21374"/>
      <w:bookmarkStart w:id="226" w:name="_Toc493956043"/>
      <w:bookmarkStart w:id="227" w:name="_Toc26769"/>
      <w:bookmarkStart w:id="228" w:name="_Toc176659672"/>
      <w:bookmarkStart w:id="229" w:name="_Toc335664279"/>
      <w:bookmarkStart w:id="230" w:name="_Toc334087237"/>
      <w:bookmarkStart w:id="231" w:name="_Toc27238"/>
      <w:bookmarkStart w:id="232" w:name="_Toc4949"/>
      <w:bookmarkStart w:id="233" w:name="_Toc29642"/>
      <w:bookmarkStart w:id="234" w:name="_Toc14925"/>
      <w:bookmarkStart w:id="235" w:name="_Toc107820051"/>
      <w:r>
        <w:rPr>
          <w:rFonts w:hint="eastAsia" w:ascii="仿宋" w:hAnsi="仿宋" w:eastAsia="仿宋" w:cs="仿宋"/>
          <w:sz w:val="32"/>
          <w:szCs w:val="32"/>
        </w:rPr>
        <w:t>十一、质疑</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11"/>
        <w:spacing w:line="360" w:lineRule="auto"/>
        <w:ind w:firstLine="480" w:firstLineChars="200"/>
        <w:rPr>
          <w:rFonts w:ascii="仿宋" w:hAnsi="仿宋" w:eastAsia="仿宋" w:cs="Times New Roman"/>
          <w:sz w:val="24"/>
          <w:szCs w:val="24"/>
        </w:rPr>
      </w:pPr>
      <w:bookmarkStart w:id="236" w:name="_Toc334087238"/>
      <w:r>
        <w:rPr>
          <w:rFonts w:ascii="仿宋" w:hAnsi="仿宋" w:eastAsia="仿宋" w:cs="仿宋"/>
          <w:sz w:val="24"/>
          <w:szCs w:val="24"/>
        </w:rPr>
        <w:t xml:space="preserve">33.1 </w:t>
      </w:r>
      <w:r>
        <w:rPr>
          <w:rFonts w:hint="eastAsia" w:ascii="仿宋" w:hAnsi="仿宋" w:eastAsia="仿宋" w:cs="仿宋"/>
          <w:sz w:val="24"/>
          <w:szCs w:val="24"/>
        </w:rPr>
        <w:t>投标人认为招标文件、采购过程和中标结果使自己的权益收到损害的，可以在知道或者应知其权益收到损害之日起七个工作日内，以书面形式向采购代理机构提出质疑。</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33.2 </w:t>
      </w:r>
      <w:r>
        <w:rPr>
          <w:rFonts w:hint="eastAsia" w:ascii="仿宋" w:hAnsi="仿宋" w:eastAsia="仿宋" w:cs="仿宋"/>
          <w:sz w:val="24"/>
          <w:szCs w:val="24"/>
        </w:rPr>
        <w:t>质疑的主要内容应符合相关法律法规以及浙江省和丽水市相关文件的规定。质疑内容涉及保密事项，质疑投标人应提供有效的信息来源或有效证据。</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33.3 </w:t>
      </w:r>
      <w:r>
        <w:rPr>
          <w:rFonts w:hint="eastAsia" w:ascii="仿宋" w:hAnsi="仿宋" w:eastAsia="仿宋" w:cs="仿宋"/>
          <w:sz w:val="24"/>
          <w:szCs w:val="24"/>
        </w:rPr>
        <w:t>质疑投标人可直接提交、传真或邮寄方式提交质疑书（一式三份以上）。以其他方式提出的质疑，采购代理机构可不予接受、答复。</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33.3.1 </w:t>
      </w:r>
      <w:r>
        <w:rPr>
          <w:rFonts w:hint="eastAsia" w:ascii="仿宋" w:hAnsi="仿宋" w:eastAsia="仿宋" w:cs="仿宋"/>
          <w:sz w:val="24"/>
          <w:szCs w:val="24"/>
        </w:rPr>
        <w:t>邮寄方式送达质疑书的，以采购代理机构实际收到邮件之日作为收到质疑的日期。</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33.3.2 </w:t>
      </w:r>
      <w:r>
        <w:rPr>
          <w:rFonts w:hint="eastAsia" w:ascii="仿宋" w:hAnsi="仿宋" w:eastAsia="仿宋" w:cs="仿宋"/>
          <w:sz w:val="24"/>
          <w:szCs w:val="24"/>
        </w:rPr>
        <w:t>传真方式送达质疑书的，质疑投标人应当取得采购代理机构确认收到传真的意见，并及时将质疑书原件送达采购代理机构。采购代理机构以实际收到原件之日作为收到质疑的日期。</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33.3.3 </w:t>
      </w:r>
      <w:r>
        <w:rPr>
          <w:rFonts w:hint="eastAsia" w:ascii="仿宋" w:hAnsi="仿宋" w:eastAsia="仿宋" w:cs="仿宋"/>
          <w:sz w:val="24"/>
          <w:szCs w:val="24"/>
        </w:rPr>
        <w:t>在质疑期限届满前，质疑书已经邮寄或传真成功的，质疑不视为过期。</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33.4 </w:t>
      </w:r>
      <w:r>
        <w:rPr>
          <w:rFonts w:hint="eastAsia" w:ascii="仿宋" w:hAnsi="仿宋" w:eastAsia="仿宋" w:cs="仿宋"/>
          <w:sz w:val="24"/>
          <w:szCs w:val="24"/>
        </w:rPr>
        <w:t>质疑投标人提供的相关材料中有外文资料的，应将与质疑相关的外文资料完整、客观、真实地翻译为中文，并注明翻译人员姓名、工作单位、联系方式等信息。</w:t>
      </w:r>
    </w:p>
    <w:p>
      <w:pPr>
        <w:pStyle w:val="11"/>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33.5 </w:t>
      </w:r>
      <w:r>
        <w:rPr>
          <w:rFonts w:hint="eastAsia" w:ascii="仿宋" w:hAnsi="仿宋" w:eastAsia="仿宋" w:cs="仿宋"/>
          <w:sz w:val="24"/>
          <w:szCs w:val="24"/>
        </w:rPr>
        <w:t>采购代理机构在收到质疑投标人的书面质疑后</w:t>
      </w:r>
      <w:r>
        <w:rPr>
          <w:rFonts w:ascii="仿宋" w:hAnsi="仿宋" w:eastAsia="仿宋" w:cs="仿宋"/>
          <w:sz w:val="24"/>
          <w:szCs w:val="24"/>
        </w:rPr>
        <w:t>7</w:t>
      </w:r>
      <w:r>
        <w:rPr>
          <w:rFonts w:hint="eastAsia" w:ascii="仿宋" w:hAnsi="仿宋" w:eastAsia="仿宋" w:cs="仿宋"/>
          <w:sz w:val="24"/>
          <w:szCs w:val="24"/>
        </w:rPr>
        <w:t>个工作日内作出答复，并以书面形式答复质疑投标人。</w:t>
      </w:r>
    </w:p>
    <w:p>
      <w:pPr>
        <w:pStyle w:val="11"/>
        <w:spacing w:line="360" w:lineRule="auto"/>
        <w:ind w:firstLine="480" w:firstLineChars="200"/>
        <w:rPr>
          <w:rFonts w:ascii="仿宋" w:hAnsi="仿宋" w:eastAsia="仿宋" w:cs="Times New Roman"/>
        </w:rPr>
      </w:pPr>
      <w:r>
        <w:rPr>
          <w:rFonts w:ascii="仿宋" w:hAnsi="仿宋" w:eastAsia="仿宋" w:cs="仿宋"/>
          <w:sz w:val="24"/>
          <w:szCs w:val="24"/>
        </w:rPr>
        <w:t xml:space="preserve">33.6 </w:t>
      </w:r>
      <w:r>
        <w:rPr>
          <w:rFonts w:hint="eastAsia" w:ascii="仿宋" w:hAnsi="仿宋" w:eastAsia="仿宋" w:cs="仿宋"/>
          <w:sz w:val="24"/>
          <w:szCs w:val="24"/>
        </w:rPr>
        <w:t>质疑投标人捏造事实、提供虚假材料进行质疑的，采购代理机构报告同级财政部门，由同级财政部门审查，情况属实的，应列入不良行为记录，并在指定的媒体上公告，投标保证金不予退还。</w:t>
      </w:r>
      <w:bookmarkStart w:id="237" w:name="EB8661f9369d5940c2886aecdfa46afbcc"/>
      <w:bookmarkEnd w:id="237"/>
    </w:p>
    <w:p>
      <w:pPr>
        <w:pStyle w:val="4"/>
        <w:spacing w:before="200" w:after="200"/>
        <w:ind w:firstLine="0" w:firstLineChars="0"/>
        <w:rPr>
          <w:rFonts w:ascii="仿宋" w:hAnsi="仿宋" w:eastAsia="仿宋" w:cs="Times New Roman"/>
          <w:sz w:val="32"/>
          <w:szCs w:val="32"/>
        </w:rPr>
      </w:pPr>
      <w:bookmarkStart w:id="238" w:name="_Toc26208"/>
      <w:bookmarkStart w:id="239" w:name="_Toc27166"/>
      <w:bookmarkStart w:id="240" w:name="_Toc10528"/>
      <w:bookmarkStart w:id="241" w:name="_Toc29955"/>
      <w:bookmarkStart w:id="242" w:name="_Toc4824"/>
      <w:bookmarkStart w:id="243" w:name="_Toc7917"/>
      <w:bookmarkStart w:id="244" w:name="_Toc335664280"/>
      <w:bookmarkStart w:id="245" w:name="_Toc493956044"/>
      <w:bookmarkStart w:id="246" w:name="_Toc22756"/>
      <w:bookmarkStart w:id="247" w:name="_Toc28919"/>
      <w:bookmarkStart w:id="248" w:name="_Toc30124"/>
      <w:r>
        <w:rPr>
          <w:rFonts w:hint="eastAsia" w:ascii="仿宋" w:hAnsi="仿宋" w:eastAsia="仿宋" w:cs="仿宋"/>
          <w:sz w:val="32"/>
          <w:szCs w:val="32"/>
        </w:rPr>
        <w:t>十二、投诉</w:t>
      </w:r>
      <w:bookmarkEnd w:id="236"/>
      <w:bookmarkEnd w:id="238"/>
      <w:bookmarkEnd w:id="239"/>
      <w:bookmarkEnd w:id="240"/>
      <w:bookmarkEnd w:id="241"/>
      <w:bookmarkEnd w:id="242"/>
      <w:bookmarkEnd w:id="243"/>
      <w:bookmarkEnd w:id="244"/>
      <w:bookmarkEnd w:id="245"/>
      <w:bookmarkEnd w:id="246"/>
      <w:bookmarkEnd w:id="247"/>
      <w:bookmarkEnd w:id="248"/>
    </w:p>
    <w:p>
      <w:pPr>
        <w:tabs>
          <w:tab w:val="left" w:pos="540"/>
        </w:tabs>
        <w:snapToGrid w:val="0"/>
        <w:spacing w:line="360" w:lineRule="auto"/>
        <w:ind w:firstLine="480" w:firstLineChars="200"/>
        <w:textAlignment w:val="baseline"/>
        <w:rPr>
          <w:rFonts w:ascii="仿宋" w:hAnsi="仿宋" w:eastAsia="仿宋" w:cs="Times New Roman"/>
        </w:rPr>
      </w:pPr>
      <w:bookmarkStart w:id="249" w:name="_Toc334087239"/>
      <w:r>
        <w:rPr>
          <w:rFonts w:ascii="仿宋" w:hAnsi="仿宋" w:eastAsia="仿宋" w:cs="仿宋"/>
          <w:sz w:val="24"/>
          <w:szCs w:val="24"/>
        </w:rPr>
        <w:t xml:space="preserve">34. </w:t>
      </w:r>
      <w:r>
        <w:rPr>
          <w:rFonts w:hint="eastAsia" w:ascii="仿宋" w:hAnsi="仿宋" w:eastAsia="仿宋" w:cs="仿宋"/>
          <w:sz w:val="24"/>
          <w:szCs w:val="24"/>
        </w:rPr>
        <w:t>质疑投标人对采购代理机构的答复不满意或者采购代理机构未在规定时间内答复的，可以在答复期满后十五个工作日内按有关规定，向景宁畲族自治县环卫清洁服务有限公司投诉。</w:t>
      </w:r>
      <w:bookmarkStart w:id="250" w:name="EB8f50e80e86224acdbbc55948f8dd6242"/>
      <w:bookmarkEnd w:id="250"/>
      <w:bookmarkStart w:id="251" w:name="EB274a613dd7644471a256a5b5c2ba75d7"/>
      <w:bookmarkEnd w:id="251"/>
    </w:p>
    <w:p>
      <w:pPr>
        <w:pStyle w:val="4"/>
        <w:keepNext w:val="0"/>
        <w:keepLines w:val="0"/>
        <w:spacing w:before="200" w:after="200"/>
        <w:ind w:firstLine="0" w:firstLineChars="0"/>
        <w:rPr>
          <w:rFonts w:ascii="仿宋" w:hAnsi="仿宋" w:eastAsia="仿宋" w:cs="Times New Roman"/>
          <w:sz w:val="32"/>
          <w:szCs w:val="32"/>
        </w:rPr>
      </w:pPr>
      <w:bookmarkStart w:id="252" w:name="_Toc2129"/>
      <w:bookmarkStart w:id="253" w:name="_Toc21654"/>
      <w:bookmarkStart w:id="254" w:name="_Toc335664281"/>
      <w:bookmarkStart w:id="255" w:name="_Toc12093"/>
      <w:bookmarkStart w:id="256" w:name="_Toc24255"/>
      <w:bookmarkStart w:id="257" w:name="_Toc22478"/>
      <w:bookmarkStart w:id="258" w:name="_Toc493956045"/>
      <w:bookmarkStart w:id="259" w:name="_Toc21005"/>
      <w:bookmarkStart w:id="260" w:name="_Toc4352"/>
      <w:bookmarkStart w:id="261" w:name="_Toc28308"/>
      <w:bookmarkStart w:id="262" w:name="_Toc28381"/>
      <w:r>
        <w:rPr>
          <w:rFonts w:hint="eastAsia" w:ascii="仿宋" w:hAnsi="仿宋" w:eastAsia="仿宋" w:cs="仿宋"/>
          <w:sz w:val="32"/>
          <w:szCs w:val="32"/>
        </w:rPr>
        <w:t>十三、授予合同</w:t>
      </w:r>
      <w:bookmarkEnd w:id="235"/>
      <w:bookmarkEnd w:id="249"/>
      <w:bookmarkEnd w:id="252"/>
      <w:bookmarkEnd w:id="253"/>
      <w:bookmarkEnd w:id="254"/>
      <w:bookmarkEnd w:id="255"/>
      <w:bookmarkEnd w:id="256"/>
      <w:bookmarkEnd w:id="257"/>
      <w:bookmarkEnd w:id="258"/>
      <w:bookmarkEnd w:id="259"/>
      <w:bookmarkEnd w:id="260"/>
      <w:bookmarkEnd w:id="261"/>
      <w:bookmarkEnd w:id="262"/>
    </w:p>
    <w:p>
      <w:pPr>
        <w:spacing w:line="360" w:lineRule="auto"/>
        <w:ind w:firstLine="480" w:firstLineChars="200"/>
        <w:rPr>
          <w:rFonts w:ascii="仿宋" w:hAnsi="仿宋" w:eastAsia="仿宋" w:cs="Times New Roman"/>
          <w:sz w:val="24"/>
          <w:szCs w:val="24"/>
        </w:rPr>
      </w:pPr>
      <w:bookmarkStart w:id="263" w:name="_Toc15805937"/>
      <w:bookmarkStart w:id="264" w:name="_Toc334087240"/>
      <w:bookmarkStart w:id="265" w:name="_Toc47756031"/>
      <w:bookmarkStart w:id="266" w:name="_Toc107820052"/>
      <w:bookmarkStart w:id="267" w:name="_Toc45506731"/>
      <w:bookmarkStart w:id="268" w:name="_Toc15813254"/>
      <w:r>
        <w:rPr>
          <w:rFonts w:ascii="仿宋" w:hAnsi="仿宋" w:eastAsia="仿宋" w:cs="仿宋"/>
          <w:sz w:val="24"/>
          <w:szCs w:val="24"/>
        </w:rPr>
        <w:t xml:space="preserve">35. </w:t>
      </w:r>
      <w:r>
        <w:rPr>
          <w:rFonts w:hint="eastAsia" w:ascii="仿宋" w:hAnsi="仿宋" w:eastAsia="仿宋" w:cs="仿宋"/>
          <w:sz w:val="24"/>
          <w:szCs w:val="24"/>
        </w:rPr>
        <w:t>中标结果公告及中标通知书</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 xml:space="preserve">35.1 </w:t>
      </w:r>
      <w:r>
        <w:rPr>
          <w:rFonts w:hint="eastAsia" w:ascii="仿宋" w:hAnsi="仿宋" w:eastAsia="仿宋" w:cs="仿宋"/>
          <w:kern w:val="0"/>
          <w:sz w:val="24"/>
          <w:szCs w:val="24"/>
        </w:rPr>
        <w:t>采购代理机构将在“浙江政府采购网”和“丽水市公共资源交易网”上发布中标结果公告。中标结果公告将包括中标人名称、地址和中标金额，主要中标标的的名称、规格型号、数量、单价、服务要求等内容，但不包括国家秘密、商业秘密</w:t>
      </w:r>
      <w:r>
        <w:rPr>
          <w:rFonts w:hint="eastAsia" w:ascii="仿宋" w:hAnsi="仿宋" w:eastAsia="仿宋" w:cs="仿宋"/>
          <w:sz w:val="24"/>
          <w:szCs w:val="24"/>
        </w:rPr>
        <w:t>。</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35.2</w:t>
      </w:r>
      <w:r>
        <w:rPr>
          <w:rFonts w:hint="eastAsia" w:ascii="仿宋" w:hAnsi="仿宋" w:eastAsia="仿宋" w:cs="仿宋"/>
          <w:sz w:val="24"/>
          <w:szCs w:val="24"/>
        </w:rPr>
        <w:t>采购代理机构将在中标结果公告中附中标通知书，视同向中标人发出中标通知书，同时中标人应在中标结果公告发布后签订合同前，赴项目负责人处领取中标通知书。</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36. </w:t>
      </w:r>
      <w:r>
        <w:rPr>
          <w:rFonts w:hint="eastAsia" w:ascii="仿宋" w:hAnsi="仿宋" w:eastAsia="仿宋" w:cs="仿宋"/>
          <w:sz w:val="24"/>
          <w:szCs w:val="24"/>
        </w:rPr>
        <w:t>授予合同时变更数量的权力</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36.1 </w:t>
      </w:r>
      <w:r>
        <w:rPr>
          <w:rFonts w:hint="eastAsia" w:ascii="仿宋" w:hAnsi="仿宋" w:eastAsia="仿宋" w:cs="仿宋"/>
          <w:sz w:val="24"/>
          <w:szCs w:val="24"/>
        </w:rPr>
        <w:t>采购人需追加与合同标的相同的货物、工程或者服务，在不改变合同其他条款的前提下，可以与中标人签订补充合同，但所有补充合同的采购总额不得超过原合同采购金额的百分之十。签订补充合同之前，采购人经</w:t>
      </w:r>
      <w:bookmarkStart w:id="269" w:name="EBadcfce0b97764aea85f23df0fc26a575"/>
      <w:r>
        <w:rPr>
          <w:rFonts w:hint="eastAsia" w:ascii="仿宋" w:hAnsi="仿宋" w:eastAsia="仿宋" w:cs="仿宋"/>
          <w:sz w:val="24"/>
          <w:szCs w:val="24"/>
        </w:rPr>
        <w:t>景宁畲族自治县财政局政府采购监管处</w:t>
      </w:r>
      <w:bookmarkEnd w:id="269"/>
      <w:r>
        <w:rPr>
          <w:rFonts w:hint="eastAsia" w:ascii="仿宋" w:hAnsi="仿宋" w:eastAsia="仿宋" w:cs="仿宋"/>
          <w:sz w:val="24"/>
          <w:szCs w:val="24"/>
        </w:rPr>
        <w:t>和采购代理机构同意，补充合同</w:t>
      </w:r>
      <w:bookmarkStart w:id="270" w:name="EB093a7cdc235d46f08a81cdaa71ec13c8"/>
      <w:r>
        <w:rPr>
          <w:rFonts w:hint="eastAsia" w:ascii="仿宋" w:hAnsi="仿宋" w:eastAsia="仿宋" w:cs="仿宋"/>
          <w:sz w:val="24"/>
          <w:szCs w:val="24"/>
        </w:rPr>
        <w:t>交景宁畲族自治县财政局政府采购监管处</w:t>
      </w:r>
      <w:bookmarkEnd w:id="270"/>
      <w:r>
        <w:rPr>
          <w:rFonts w:hint="eastAsia" w:ascii="仿宋" w:hAnsi="仿宋" w:eastAsia="仿宋" w:cs="仿宋"/>
          <w:sz w:val="24"/>
          <w:szCs w:val="24"/>
        </w:rPr>
        <w:t>及采购代理机构备案。</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37. </w:t>
      </w:r>
      <w:r>
        <w:rPr>
          <w:rFonts w:hint="eastAsia" w:ascii="仿宋" w:hAnsi="仿宋" w:eastAsia="仿宋" w:cs="仿宋"/>
          <w:sz w:val="24"/>
          <w:szCs w:val="24"/>
        </w:rPr>
        <w:t>签订合同</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37.1 </w:t>
      </w:r>
      <w:r>
        <w:rPr>
          <w:rFonts w:hint="eastAsia" w:ascii="仿宋" w:hAnsi="仿宋" w:eastAsia="仿宋" w:cs="仿宋"/>
          <w:b/>
          <w:bCs/>
          <w:sz w:val="24"/>
          <w:szCs w:val="24"/>
        </w:rPr>
        <w:t>采购人与中标人应当在中标通知书发出之日起</w:t>
      </w:r>
      <w:r>
        <w:rPr>
          <w:rFonts w:ascii="仿宋" w:hAnsi="仿宋" w:eastAsia="仿宋" w:cs="仿宋"/>
          <w:b/>
          <w:bCs/>
          <w:sz w:val="24"/>
          <w:szCs w:val="24"/>
        </w:rPr>
        <w:t>30</w:t>
      </w:r>
      <w:r>
        <w:rPr>
          <w:rFonts w:hint="eastAsia" w:ascii="仿宋" w:hAnsi="仿宋" w:eastAsia="仿宋" w:cs="仿宋"/>
          <w:b/>
          <w:bCs/>
          <w:sz w:val="24"/>
          <w:szCs w:val="24"/>
        </w:rPr>
        <w:t>日内签订采购合同。同时，采购代理机构对合同内容进行审查，如发现与采购结果和投标承诺内容不一致的，应予以纠正。</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37.2 </w:t>
      </w:r>
      <w:r>
        <w:rPr>
          <w:rFonts w:hint="eastAsia" w:ascii="仿宋" w:hAnsi="仿宋" w:eastAsia="仿宋" w:cs="仿宋"/>
          <w:b/>
          <w:bCs/>
          <w:sz w:val="24"/>
          <w:szCs w:val="24"/>
        </w:rPr>
        <w:t>招标文件、中标人的投标文件及其澄清文件等，均为签订合同的依据。</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37.3 </w:t>
      </w:r>
      <w:r>
        <w:rPr>
          <w:rFonts w:hint="eastAsia" w:ascii="仿宋" w:hAnsi="仿宋" w:eastAsia="仿宋" w:cs="仿宋"/>
          <w:b/>
          <w:bCs/>
          <w:sz w:val="24"/>
          <w:szCs w:val="24"/>
        </w:rPr>
        <w:t>中标人不遵守招标文件和投标文件的要约条款及所作的承诺，擅自修改报价或在接到中标通知书</w:t>
      </w:r>
      <w:r>
        <w:rPr>
          <w:rFonts w:ascii="仿宋" w:hAnsi="仿宋" w:eastAsia="仿宋" w:cs="仿宋"/>
          <w:b/>
          <w:bCs/>
          <w:sz w:val="24"/>
          <w:szCs w:val="24"/>
        </w:rPr>
        <w:t>30</w:t>
      </w:r>
      <w:r>
        <w:rPr>
          <w:rFonts w:hint="eastAsia" w:ascii="仿宋" w:hAnsi="仿宋" w:eastAsia="仿宋" w:cs="仿宋"/>
          <w:b/>
          <w:bCs/>
          <w:sz w:val="24"/>
          <w:szCs w:val="24"/>
        </w:rPr>
        <w:t>天内，无故拖延、拒签合同者，采购代理机构和采购人将不退还投标保证金。同时，采购代理机构和采购人有权取消投标人的中标资格。</w:t>
      </w:r>
    </w:p>
    <w:p>
      <w:p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按有关法律法规中标人拒绝与采购人签订合同的，</w:t>
      </w:r>
      <w:r>
        <w:rPr>
          <w:rFonts w:hint="eastAsia" w:ascii="仿宋" w:hAnsi="仿宋" w:eastAsia="仿宋" w:cs="仿宋"/>
          <w:b/>
          <w:bCs/>
          <w:kern w:val="2"/>
          <w:sz w:val="24"/>
          <w:szCs w:val="24"/>
          <w:lang w:eastAsia="zh-CN"/>
        </w:rPr>
        <w:t>或</w:t>
      </w:r>
      <w:r>
        <w:rPr>
          <w:rFonts w:hint="eastAsia" w:ascii="仿宋" w:hAnsi="仿宋" w:eastAsia="仿宋" w:cs="仿宋"/>
          <w:b/>
          <w:bCs/>
          <w:kern w:val="2"/>
          <w:sz w:val="24"/>
          <w:szCs w:val="24"/>
        </w:rPr>
        <w:t>中标后发现第一中标候选人存在中标无效情况的，</w:t>
      </w:r>
      <w:r>
        <w:rPr>
          <w:rFonts w:hint="eastAsia" w:ascii="仿宋" w:hAnsi="仿宋" w:eastAsia="仿宋" w:cs="仿宋"/>
          <w:b/>
          <w:bCs/>
          <w:kern w:val="2"/>
          <w:sz w:val="24"/>
          <w:szCs w:val="24"/>
          <w:lang w:eastAsia="zh-CN"/>
        </w:rPr>
        <w:t xml:space="preserve"> </w:t>
      </w:r>
      <w:r>
        <w:rPr>
          <w:rFonts w:hint="eastAsia" w:ascii="仿宋" w:hAnsi="仿宋" w:eastAsia="仿宋" w:cs="仿宋"/>
          <w:b/>
          <w:bCs/>
          <w:sz w:val="24"/>
          <w:szCs w:val="24"/>
        </w:rPr>
        <w:t>采购人可以按照评审报告推荐的中标候选人名单排序，确定下一候选人为中标人，也可以重新开展政府采购活动。</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37.4</w:t>
      </w:r>
      <w:r>
        <w:rPr>
          <w:rFonts w:hint="eastAsia" w:ascii="仿宋" w:hAnsi="仿宋" w:eastAsia="仿宋" w:cs="仿宋"/>
          <w:b/>
          <w:bCs/>
          <w:sz w:val="24"/>
          <w:szCs w:val="24"/>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37.5 </w:t>
      </w:r>
      <w:r>
        <w:rPr>
          <w:rFonts w:hint="eastAsia" w:ascii="仿宋" w:hAnsi="仿宋" w:eastAsia="仿宋" w:cs="仿宋"/>
          <w:sz w:val="24"/>
          <w:szCs w:val="24"/>
        </w:rPr>
        <w:t>中标人应按采购代理机构根据招标文件确定的履约保证金的金额，向采购人交纳履约保证金。</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37.6 </w:t>
      </w:r>
      <w:r>
        <w:rPr>
          <w:rFonts w:hint="eastAsia" w:ascii="仿宋" w:hAnsi="仿宋" w:eastAsia="仿宋" w:cs="仿宋"/>
          <w:sz w:val="24"/>
          <w:szCs w:val="24"/>
        </w:rPr>
        <w:t>履约保证金退还：项目验收合格后由中标人向采购人申请退还，采购人将以电汇或转账方式无息退还。中标人在办理退还履约保证金时，应开具保证金收据。</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37.6.1 </w:t>
      </w:r>
      <w:r>
        <w:rPr>
          <w:rFonts w:hint="eastAsia" w:ascii="仿宋" w:hAnsi="仿宋" w:eastAsia="仿宋" w:cs="仿宋"/>
          <w:sz w:val="24"/>
          <w:szCs w:val="24"/>
        </w:rPr>
        <w:t>中标供应商的投标保证金在签订相关合同后退还，其他投标供应商的投标保证金在确定中标供应商后退还。</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37.6.4 </w:t>
      </w:r>
      <w:r>
        <w:rPr>
          <w:rFonts w:hint="eastAsia" w:ascii="仿宋" w:hAnsi="仿宋" w:eastAsia="仿宋" w:cs="仿宋"/>
          <w:b/>
          <w:bCs/>
          <w:sz w:val="24"/>
          <w:szCs w:val="24"/>
        </w:rPr>
        <w:t>如中标人在履约期间未履行有关义务或项目未验收通过的，经采购人向采购代理机构提出书面意见，采购代理机构将延期退还中标人履约保证金，直到中标人正常履行有关义务止。</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37.6.5 </w:t>
      </w:r>
      <w:r>
        <w:rPr>
          <w:rFonts w:hint="eastAsia" w:ascii="仿宋" w:hAnsi="仿宋" w:eastAsia="仿宋" w:cs="仿宋"/>
          <w:sz w:val="24"/>
          <w:szCs w:val="24"/>
        </w:rPr>
        <w:t>中标人提供的货物质量和服务符合合同约定并经验收合格的，其履约保证金在项目产品质保期满或招标文件规定的时间期满后无息退还。</w:t>
      </w:r>
    </w:p>
    <w:p>
      <w:pPr>
        <w:spacing w:line="360" w:lineRule="auto"/>
        <w:ind w:firstLine="480" w:firstLineChars="200"/>
        <w:rPr>
          <w:rFonts w:ascii="仿宋" w:hAnsi="仿宋" w:eastAsia="仿宋" w:cs="仿宋"/>
          <w:sz w:val="20"/>
          <w:szCs w:val="20"/>
        </w:rPr>
      </w:pPr>
      <w:r>
        <w:rPr>
          <w:rFonts w:ascii="仿宋" w:hAnsi="仿宋" w:eastAsia="仿宋" w:cs="仿宋"/>
          <w:sz w:val="24"/>
          <w:szCs w:val="24"/>
        </w:rPr>
        <w:t xml:space="preserve">37.7 </w:t>
      </w:r>
      <w:r>
        <w:rPr>
          <w:rFonts w:hint="eastAsia" w:ascii="仿宋" w:hAnsi="仿宋" w:eastAsia="仿宋" w:cs="仿宋"/>
          <w:sz w:val="24"/>
          <w:szCs w:val="24"/>
        </w:rPr>
        <w:t>采购人应当自政府采购合同签订之日起</w:t>
      </w:r>
      <w:r>
        <w:rPr>
          <w:rFonts w:ascii="仿宋" w:hAnsi="仿宋" w:eastAsia="仿宋" w:cs="仿宋"/>
          <w:sz w:val="24"/>
          <w:szCs w:val="24"/>
        </w:rPr>
        <w:t>2</w:t>
      </w:r>
      <w:r>
        <w:rPr>
          <w:rFonts w:hint="eastAsia" w:ascii="仿宋" w:hAnsi="仿宋" w:eastAsia="仿宋" w:cs="仿宋"/>
          <w:sz w:val="24"/>
          <w:szCs w:val="24"/>
        </w:rPr>
        <w:t>个工作日内，将政府采购合同在省级以上人民政府财政部门指定的媒体上公告，但政府采购合同中涉及国家秘密、商业秘密的内容除外。</w:t>
      </w:r>
      <w:bookmarkStart w:id="271" w:name="EB4a8ba0ad86ed4500bdda55f0ca061ebf"/>
      <w:bookmarkEnd w:id="271"/>
    </w:p>
    <w:p>
      <w:pPr>
        <w:pStyle w:val="4"/>
        <w:spacing w:before="200" w:after="200"/>
        <w:ind w:firstLine="0" w:firstLineChars="0"/>
        <w:rPr>
          <w:rFonts w:ascii="仿宋" w:hAnsi="仿宋" w:eastAsia="仿宋" w:cs="Times New Roman"/>
          <w:sz w:val="32"/>
          <w:szCs w:val="32"/>
        </w:rPr>
      </w:pPr>
      <w:bookmarkStart w:id="272" w:name="_Toc493956046"/>
      <w:bookmarkStart w:id="273" w:name="_Toc19619"/>
      <w:bookmarkStart w:id="274" w:name="_Toc19882"/>
      <w:bookmarkStart w:id="275" w:name="_Toc20931"/>
      <w:bookmarkStart w:id="276" w:name="_Toc779"/>
      <w:bookmarkStart w:id="277" w:name="_Toc4904"/>
      <w:bookmarkStart w:id="278" w:name="_Toc7997"/>
      <w:bookmarkStart w:id="279" w:name="_Toc4881"/>
      <w:bookmarkStart w:id="280" w:name="_Toc7903"/>
      <w:bookmarkStart w:id="281" w:name="_Toc9703"/>
      <w:r>
        <w:rPr>
          <w:rFonts w:hint="eastAsia" w:ascii="仿宋" w:hAnsi="仿宋" w:eastAsia="仿宋" w:cs="仿宋"/>
          <w:sz w:val="32"/>
          <w:szCs w:val="32"/>
        </w:rPr>
        <w:t>十四、验收</w:t>
      </w:r>
      <w:bookmarkEnd w:id="272"/>
      <w:bookmarkEnd w:id="273"/>
      <w:bookmarkEnd w:id="274"/>
      <w:bookmarkEnd w:id="275"/>
      <w:bookmarkEnd w:id="276"/>
      <w:bookmarkEnd w:id="277"/>
      <w:bookmarkEnd w:id="278"/>
      <w:bookmarkEnd w:id="279"/>
      <w:bookmarkEnd w:id="280"/>
      <w:bookmarkEnd w:id="281"/>
    </w:p>
    <w:p>
      <w:pPr>
        <w:spacing w:line="360" w:lineRule="auto"/>
        <w:ind w:firstLine="480" w:firstLineChars="200"/>
        <w:rPr>
          <w:rFonts w:ascii="仿宋" w:hAnsi="仿宋" w:eastAsia="仿宋" w:cs="Times New Roman"/>
          <w:sz w:val="24"/>
          <w:szCs w:val="24"/>
        </w:rPr>
      </w:pPr>
      <w:bookmarkStart w:id="282" w:name="_Toc493956047"/>
      <w:r>
        <w:rPr>
          <w:rFonts w:ascii="仿宋" w:hAnsi="仿宋" w:eastAsia="仿宋" w:cs="仿宋"/>
          <w:sz w:val="24"/>
          <w:szCs w:val="24"/>
        </w:rPr>
        <w:t xml:space="preserve">38. </w:t>
      </w:r>
      <w:r>
        <w:rPr>
          <w:rFonts w:hint="eastAsia" w:ascii="仿宋" w:hAnsi="仿宋" w:eastAsia="仿宋" w:cs="仿宋"/>
          <w:sz w:val="24"/>
          <w:szCs w:val="24"/>
        </w:rPr>
        <w:t>采购人应当按照政府采购合同规定的技术、服务、安全标准组织对投标人履约情况进行验收，并出具验收书。验收书应当包括每一项技术、服务、安全标准的履约情况。</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38.1 </w:t>
      </w:r>
      <w:r>
        <w:rPr>
          <w:rFonts w:hint="eastAsia" w:ascii="仿宋" w:hAnsi="仿宋" w:eastAsia="仿宋" w:cs="仿宋"/>
          <w:sz w:val="24"/>
          <w:szCs w:val="24"/>
        </w:rPr>
        <w:t>政府向社会公众提供的公共服务项目，验收时应当邀请服务对象参与并出具意见，验收结果应当向社会公告。</w:t>
      </w:r>
    </w:p>
    <w:p>
      <w:pPr>
        <w:pStyle w:val="20"/>
        <w:snapToGrid w:val="0"/>
        <w:spacing w:before="0" w:beforeAutospacing="0" w:after="0" w:afterAutospacing="0" w:line="360" w:lineRule="auto"/>
        <w:ind w:firstLine="480" w:firstLineChars="200"/>
        <w:jc w:val="both"/>
        <w:rPr>
          <w:rFonts w:ascii="仿宋" w:hAnsi="仿宋" w:eastAsia="仿宋" w:cs="Times New Roman"/>
          <w:kern w:val="2"/>
        </w:rPr>
      </w:pPr>
      <w:r>
        <w:rPr>
          <w:rFonts w:ascii="仿宋" w:hAnsi="仿宋" w:eastAsia="仿宋" w:cs="仿宋"/>
          <w:kern w:val="2"/>
        </w:rPr>
        <w:t xml:space="preserve">38.2 </w:t>
      </w:r>
      <w:r>
        <w:rPr>
          <w:rFonts w:hint="eastAsia" w:ascii="仿宋" w:hAnsi="仿宋" w:eastAsia="仿宋" w:cs="仿宋"/>
          <w:kern w:val="2"/>
        </w:rPr>
        <w:t>如本项目采购人将邀请其他投标人或者第三方机构参与验收、核对中标产品的技术指标、规格型号、保修服务、承诺等内容，是否和</w:t>
      </w:r>
      <w:r>
        <w:rPr>
          <w:rFonts w:hint="eastAsia" w:ascii="仿宋" w:hAnsi="仿宋" w:eastAsia="仿宋" w:cs="仿宋"/>
        </w:rPr>
        <w:t>招标文件</w:t>
      </w:r>
      <w:r>
        <w:rPr>
          <w:rFonts w:hint="eastAsia" w:ascii="仿宋" w:hAnsi="仿宋" w:eastAsia="仿宋" w:cs="仿宋"/>
          <w:kern w:val="2"/>
        </w:rPr>
        <w:t>、中标人</w:t>
      </w:r>
      <w:r>
        <w:rPr>
          <w:rFonts w:hint="eastAsia" w:ascii="仿宋" w:hAnsi="仿宋" w:eastAsia="仿宋" w:cs="仿宋"/>
        </w:rPr>
        <w:t>投标文件</w:t>
      </w:r>
      <w:r>
        <w:rPr>
          <w:rFonts w:hint="eastAsia" w:ascii="仿宋" w:hAnsi="仿宋" w:eastAsia="仿宋" w:cs="仿宋"/>
          <w:kern w:val="2"/>
        </w:rPr>
        <w:t>的内容相符合。</w:t>
      </w:r>
    </w:p>
    <w:p>
      <w:pPr>
        <w:pStyle w:val="20"/>
        <w:snapToGrid w:val="0"/>
        <w:spacing w:before="0" w:beforeAutospacing="0" w:after="0" w:afterAutospacing="0" w:line="360" w:lineRule="auto"/>
        <w:ind w:firstLine="480" w:firstLineChars="200"/>
        <w:jc w:val="both"/>
        <w:rPr>
          <w:rFonts w:ascii="仿宋" w:hAnsi="仿宋" w:eastAsia="仿宋" w:cs="Times New Roman"/>
          <w:kern w:val="2"/>
        </w:rPr>
      </w:pPr>
      <w:r>
        <w:rPr>
          <w:rFonts w:ascii="仿宋" w:hAnsi="仿宋" w:eastAsia="仿宋" w:cs="仿宋"/>
          <w:kern w:val="2"/>
        </w:rPr>
        <w:t>38.3</w:t>
      </w:r>
      <w:r>
        <w:rPr>
          <w:rFonts w:hint="eastAsia" w:ascii="仿宋" w:hAnsi="仿宋" w:eastAsia="仿宋" w:cs="仿宋"/>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仿宋" w:hAnsi="仿宋" w:eastAsia="仿宋" w:cs="仿宋"/>
          <w:sz w:val="20"/>
          <w:szCs w:val="20"/>
        </w:rPr>
      </w:pPr>
      <w:r>
        <w:rPr>
          <w:rFonts w:ascii="仿宋" w:hAnsi="仿宋" w:eastAsia="仿宋" w:cs="仿宋"/>
          <w:sz w:val="24"/>
          <w:szCs w:val="24"/>
        </w:rPr>
        <w:t>38.4</w:t>
      </w:r>
      <w:r>
        <w:rPr>
          <w:rFonts w:hint="eastAsia" w:ascii="仿宋" w:hAnsi="仿宋" w:eastAsia="仿宋" w:cs="仿宋"/>
          <w:sz w:val="24"/>
          <w:szCs w:val="24"/>
        </w:rPr>
        <w:t>其他投标人应遵守诚实信用、实事求是的原则，在验收期间积极配合采购人组织的验收工作，不得影响或阻扰验收工作的正常进行。参与验收的一切费用，原则上由投标人自行承担。</w:t>
      </w:r>
      <w:bookmarkStart w:id="283" w:name="EBd2522df597074a4482c1669877a67a9b"/>
      <w:bookmarkEnd w:id="283"/>
      <w:bookmarkStart w:id="284" w:name="EB2f50be56a5df4291a19f1a40e16bfb61"/>
      <w:bookmarkEnd w:id="284"/>
    </w:p>
    <w:p>
      <w:pPr>
        <w:spacing w:line="460" w:lineRule="exact"/>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38.5 </w:t>
      </w:r>
      <w:r>
        <w:rPr>
          <w:rFonts w:hint="eastAsia" w:ascii="仿宋" w:hAnsi="仿宋" w:eastAsia="仿宋" w:cs="仿宋"/>
          <w:kern w:val="0"/>
          <w:sz w:val="24"/>
          <w:szCs w:val="24"/>
        </w:rPr>
        <w:t>验收结果要报代理机构处备案。</w:t>
      </w:r>
    </w:p>
    <w:p>
      <w:pPr>
        <w:pStyle w:val="4"/>
        <w:keepNext w:val="0"/>
        <w:keepLines w:val="0"/>
        <w:spacing w:before="200" w:after="200" w:line="460" w:lineRule="exact"/>
        <w:ind w:firstLine="0" w:firstLineChars="0"/>
        <w:rPr>
          <w:rFonts w:ascii="仿宋" w:hAnsi="仿宋" w:eastAsia="仿宋" w:cs="Times New Roman"/>
          <w:sz w:val="32"/>
          <w:szCs w:val="32"/>
        </w:rPr>
      </w:pPr>
      <w:bookmarkStart w:id="285" w:name="_Toc26258"/>
      <w:bookmarkStart w:id="286" w:name="_Toc29391"/>
      <w:bookmarkStart w:id="287" w:name="_Toc26919"/>
      <w:bookmarkStart w:id="288" w:name="_Toc23695"/>
      <w:bookmarkStart w:id="289" w:name="_Toc575"/>
      <w:bookmarkStart w:id="290" w:name="_Toc23797"/>
      <w:bookmarkStart w:id="291" w:name="_Toc20341"/>
      <w:bookmarkStart w:id="292" w:name="_Toc13268"/>
      <w:bookmarkStart w:id="293" w:name="_Toc24366"/>
      <w:r>
        <w:rPr>
          <w:rFonts w:hint="eastAsia" w:ascii="仿宋" w:hAnsi="仿宋" w:eastAsia="仿宋" w:cs="仿宋"/>
          <w:sz w:val="32"/>
          <w:szCs w:val="32"/>
        </w:rPr>
        <w:t>十五、政府采购政策</w:t>
      </w:r>
      <w:bookmarkEnd w:id="282"/>
      <w:bookmarkEnd w:id="285"/>
      <w:bookmarkEnd w:id="286"/>
      <w:bookmarkEnd w:id="287"/>
      <w:bookmarkEnd w:id="288"/>
      <w:bookmarkEnd w:id="289"/>
      <w:bookmarkEnd w:id="290"/>
      <w:bookmarkEnd w:id="291"/>
      <w:bookmarkEnd w:id="292"/>
      <w:bookmarkEnd w:id="293"/>
    </w:p>
    <w:p>
      <w:pPr>
        <w:spacing w:line="460" w:lineRule="exact"/>
        <w:ind w:firstLine="480" w:firstLineChars="200"/>
        <w:rPr>
          <w:rFonts w:ascii="仿宋" w:hAnsi="仿宋" w:eastAsia="仿宋" w:cs="仿宋"/>
          <w:kern w:val="0"/>
          <w:sz w:val="24"/>
          <w:szCs w:val="24"/>
        </w:rPr>
      </w:pPr>
      <w:bookmarkStart w:id="294" w:name="_Toc335664282"/>
      <w:bookmarkStart w:id="295" w:name="_Toc493956048"/>
      <w:bookmarkStart w:id="296" w:name="_Toc27378"/>
      <w:r>
        <w:rPr>
          <w:rFonts w:hint="eastAsia" w:ascii="仿宋" w:hAnsi="仿宋" w:eastAsia="仿宋" w:cs="仿宋"/>
          <w:kern w:val="0"/>
          <w:sz w:val="24"/>
          <w:szCs w:val="24"/>
        </w:rPr>
        <w:t>39. 关于中小企业参与政府采购活动的规定</w:t>
      </w:r>
    </w:p>
    <w:p>
      <w:pPr>
        <w:spacing w:line="460" w:lineRule="exact"/>
        <w:ind w:firstLine="480" w:firstLineChars="200"/>
        <w:rPr>
          <w:rFonts w:ascii="仿宋" w:hAnsi="仿宋" w:eastAsia="仿宋" w:cs="仿宋"/>
          <w:sz w:val="24"/>
          <w:szCs w:val="24"/>
        </w:rPr>
      </w:pPr>
      <w:r>
        <w:rPr>
          <w:rFonts w:hint="eastAsia" w:ascii="仿宋" w:hAnsi="仿宋" w:eastAsia="仿宋" w:cs="仿宋"/>
          <w:kern w:val="0"/>
          <w:sz w:val="24"/>
          <w:szCs w:val="24"/>
        </w:rPr>
        <w:t>39.1 根据《中小企业划型标准规定》（工信部联企业〔2011〕300号）、《政府采购促进中小企业发展管理办法》（财库〔2020〕46号）的有关规定，《政府采购促进中小企业发展管理办法》所称中小企业</w:t>
      </w:r>
      <w:r>
        <w:rPr>
          <w:rFonts w:hint="eastAsia" w:ascii="仿宋" w:hAnsi="仿宋" w:eastAsia="仿宋" w:cs="仿宋"/>
          <w:sz w:val="24"/>
          <w:szCs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符合中小企业划分标准的个体工商户，在政府采购活动中视同中小企业。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39.2根据《政府采购促进中小企业发展管理办法》（财库〔2020〕46号）文件要求，在政府采购活动按下列情形之一给予价格扣除：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GB2 </w:instrText>
      </w:r>
      <w:r>
        <w:rPr>
          <w:rFonts w:hint="eastAsia" w:ascii="仿宋" w:hAnsi="仿宋" w:eastAsia="仿宋" w:cs="仿宋"/>
          <w:sz w:val="24"/>
          <w:szCs w:val="24"/>
        </w:rPr>
        <w:fldChar w:fldCharType="separate"/>
      </w:r>
      <w:r>
        <w:rPr>
          <w:rFonts w:hint="eastAsia" w:ascii="仿宋" w:hAnsi="仿宋" w:eastAsia="仿宋" w:cs="仿宋"/>
          <w:sz w:val="24"/>
          <w:szCs w:val="24"/>
        </w:rPr>
        <w:t>⑴</w:t>
      </w:r>
      <w:r>
        <w:rPr>
          <w:rFonts w:hint="eastAsia" w:ascii="仿宋" w:hAnsi="仿宋" w:eastAsia="仿宋" w:cs="仿宋"/>
          <w:sz w:val="24"/>
          <w:szCs w:val="24"/>
        </w:rPr>
        <w:fldChar w:fldCharType="end"/>
      </w:r>
      <w:r>
        <w:rPr>
          <w:rFonts w:hint="eastAsia" w:ascii="仿宋" w:hAnsi="仿宋" w:eastAsia="仿宋" w:cs="仿宋"/>
          <w:sz w:val="24"/>
          <w:szCs w:val="24"/>
        </w:rPr>
        <w:t>“本项目所属行业为其他未列明行业</w:t>
      </w:r>
      <w:r>
        <w:rPr>
          <w:rFonts w:ascii="仿宋" w:hAnsi="仿宋" w:eastAsia="仿宋" w:cs="仿宋"/>
          <w:sz w:val="24"/>
          <w:szCs w:val="24"/>
        </w:rPr>
        <w:t>”</w:t>
      </w:r>
      <w:r>
        <w:rPr>
          <w:rFonts w:hint="eastAsia" w:ascii="仿宋" w:hAnsi="仿宋" w:eastAsia="仿宋" w:cs="仿宋"/>
          <w:sz w:val="24"/>
          <w:szCs w:val="24"/>
        </w:rPr>
        <w:t>,对于非专门面向中小企业的项目，对小型和微型企业产品的价格给予扣除，用扣除后的价格参与评审，对小型和微型企业产品给予0%的价格扣除；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联合体协议约定，小型、微型企业的协议合同金额占到联合协议合同总金额30%以上的，可给予联合体价格扣除，用扣除后的价格参与评审。联合体各方均为小型、微型企业的，联合体视同为小型、微型企业。对小型和微型企业产品给予0%的价格扣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(3)参加政府采购活动的中小企业应当提供《中小企业声明函》。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39.3投标人符合《财政部、司法部关于政府采购支持监狱企业发展有关问题的通知》（财库〔2014〕68号）文件要求，并提供省级以上监狱管理局、戒毒管理局（含新疆生产建设兵团）出具的属于监狱企业的证明文件，则视同小型、微型企业，享受第39.2条的扶持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39.4投标人符合《三部门联合发布关于促进残疾人就业政府采购政策的通知》（财库〔2017〕141号）文件要求，并提供《残疾人福利性单位声明函》的，则视同小型、微型企业，享受第39.2条的扶持政策。</w:t>
      </w:r>
    </w:p>
    <w:p>
      <w:pPr>
        <w:pStyle w:val="4"/>
        <w:spacing w:before="200" w:after="200" w:line="460" w:lineRule="exact"/>
        <w:ind w:firstLine="0" w:firstLineChars="0"/>
        <w:rPr>
          <w:rFonts w:ascii="仿宋" w:hAnsi="仿宋" w:eastAsia="仿宋" w:cs="Times New Roman"/>
          <w:sz w:val="32"/>
          <w:szCs w:val="32"/>
        </w:rPr>
      </w:pPr>
      <w:bookmarkStart w:id="297" w:name="_Toc12463"/>
      <w:bookmarkStart w:id="298" w:name="_Toc26727"/>
      <w:bookmarkStart w:id="299" w:name="_Toc20122"/>
      <w:bookmarkStart w:id="300" w:name="_Toc29681"/>
      <w:bookmarkStart w:id="301" w:name="_Toc12705"/>
      <w:bookmarkStart w:id="302" w:name="_Toc20349"/>
      <w:bookmarkStart w:id="303" w:name="_Toc21460"/>
      <w:bookmarkStart w:id="304" w:name="_Toc13379"/>
      <w:r>
        <w:rPr>
          <w:rFonts w:hint="eastAsia" w:ascii="仿宋" w:hAnsi="仿宋" w:eastAsia="仿宋" w:cs="仿宋"/>
          <w:sz w:val="32"/>
          <w:szCs w:val="32"/>
        </w:rPr>
        <w:t>十六、其他事项</w:t>
      </w:r>
      <w:bookmarkEnd w:id="263"/>
      <w:bookmarkEnd w:id="264"/>
      <w:bookmarkEnd w:id="265"/>
      <w:bookmarkEnd w:id="266"/>
      <w:bookmarkEnd w:id="267"/>
      <w:bookmarkEnd w:id="268"/>
      <w:bookmarkEnd w:id="294"/>
      <w:bookmarkEnd w:id="295"/>
      <w:bookmarkEnd w:id="296"/>
      <w:bookmarkEnd w:id="297"/>
      <w:bookmarkEnd w:id="298"/>
      <w:bookmarkEnd w:id="299"/>
      <w:bookmarkEnd w:id="300"/>
      <w:bookmarkEnd w:id="301"/>
      <w:bookmarkEnd w:id="302"/>
      <w:bookmarkEnd w:id="303"/>
      <w:bookmarkEnd w:id="304"/>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40. </w:t>
      </w:r>
      <w:r>
        <w:rPr>
          <w:rFonts w:hint="eastAsia" w:ascii="仿宋" w:hAnsi="仿宋" w:eastAsia="仿宋" w:cs="仿宋"/>
          <w:sz w:val="24"/>
          <w:szCs w:val="24"/>
        </w:rPr>
        <w:t>解释权</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40.1</w:t>
      </w:r>
      <w:r>
        <w:rPr>
          <w:rFonts w:hint="eastAsia" w:ascii="仿宋" w:hAnsi="仿宋" w:eastAsia="仿宋" w:cs="仿宋"/>
          <w:sz w:val="24"/>
          <w:szCs w:val="24"/>
        </w:rPr>
        <w:t>本招标文件是根据国家有关法律、法规、规章和有关规定编制的，解释权属采购代理机构。</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41.</w:t>
      </w:r>
      <w:r>
        <w:rPr>
          <w:rFonts w:hint="eastAsia" w:ascii="仿宋" w:hAnsi="仿宋" w:eastAsia="仿宋" w:cs="仿宋"/>
          <w:sz w:val="24"/>
          <w:szCs w:val="24"/>
        </w:rPr>
        <w:t>采购代理机构对决标结果不负责解释。</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w:t>
      </w:r>
      <w:r>
        <w:rPr>
          <w:rFonts w:hint="eastAsia" w:ascii="仿宋" w:hAnsi="仿宋" w:eastAsia="仿宋" w:cs="仿宋"/>
          <w:sz w:val="24"/>
          <w:szCs w:val="24"/>
        </w:rPr>
        <w:t>项目监督</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42.1</w:t>
      </w:r>
      <w:r>
        <w:rPr>
          <w:rFonts w:hint="eastAsia" w:ascii="仿宋" w:hAnsi="仿宋" w:eastAsia="仿宋" w:cs="仿宋"/>
          <w:sz w:val="24"/>
          <w:szCs w:val="24"/>
        </w:rPr>
        <w:t>本项目接受监察、财政、审计等部门的监督。</w:t>
      </w:r>
    </w:p>
    <w:p>
      <w:pPr>
        <w:snapToGrid w:val="0"/>
        <w:spacing w:line="360" w:lineRule="auto"/>
        <w:ind w:firstLine="482" w:firstLineChars="200"/>
        <w:rPr>
          <w:rFonts w:ascii="仿宋" w:hAnsi="仿宋" w:eastAsia="仿宋" w:cs="Times New Roman"/>
          <w:b/>
          <w:sz w:val="24"/>
          <w:szCs w:val="24"/>
        </w:rPr>
      </w:pPr>
      <w:r>
        <w:rPr>
          <w:rFonts w:ascii="仿宋" w:hAnsi="仿宋" w:eastAsia="仿宋" w:cs="仿宋"/>
          <w:b/>
          <w:sz w:val="24"/>
          <w:szCs w:val="24"/>
        </w:rPr>
        <w:t xml:space="preserve">43. </w:t>
      </w:r>
      <w:r>
        <w:rPr>
          <w:rFonts w:hint="eastAsia" w:ascii="仿宋" w:hAnsi="仿宋" w:eastAsia="仿宋" w:cs="仿宋"/>
          <w:b/>
          <w:sz w:val="24"/>
          <w:szCs w:val="24"/>
        </w:rPr>
        <w:t>采购代理服务费</w:t>
      </w:r>
    </w:p>
    <w:p>
      <w:pPr>
        <w:snapToGrid w:val="0"/>
        <w:spacing w:line="360" w:lineRule="auto"/>
        <w:ind w:firstLine="480" w:firstLineChars="200"/>
        <w:rPr>
          <w:rFonts w:ascii="仿宋" w:hAnsi="仿宋" w:eastAsia="仿宋" w:cs="仿宋"/>
          <w:color w:val="FF0000"/>
          <w:sz w:val="24"/>
          <w:szCs w:val="24"/>
        </w:rPr>
      </w:pPr>
      <w:bookmarkStart w:id="305" w:name="_Toc493956049"/>
      <w:r>
        <w:rPr>
          <w:rFonts w:hint="eastAsia" w:ascii="仿宋" w:hAnsi="仿宋" w:eastAsia="仿宋" w:cs="仿宋"/>
          <w:color w:val="000000" w:themeColor="text1"/>
          <w:sz w:val="24"/>
          <w:szCs w:val="24"/>
          <w14:textFill>
            <w14:solidFill>
              <w14:schemeClr w14:val="tx1"/>
            </w14:solidFill>
          </w14:textFill>
        </w:rPr>
        <w:t>本项目由中标人支付采购代理服务费，费用为人民币</w:t>
      </w:r>
      <w:r>
        <w:rPr>
          <w:rFonts w:hint="eastAsia" w:ascii="仿宋" w:hAnsi="仿宋" w:eastAsia="仿宋" w:cs="仿宋"/>
          <w:color w:val="auto"/>
          <w:sz w:val="24"/>
          <w:szCs w:val="24"/>
          <w:lang w:val="en-US" w:eastAsia="zh-CN"/>
        </w:rPr>
        <w:t>22800</w:t>
      </w:r>
      <w:r>
        <w:rPr>
          <w:rFonts w:hint="eastAsia" w:ascii="仿宋" w:hAnsi="仿宋" w:eastAsia="仿宋" w:cs="仿宋"/>
          <w:color w:val="000000" w:themeColor="text1"/>
          <w:sz w:val="24"/>
          <w:szCs w:val="24"/>
          <w14:textFill>
            <w14:solidFill>
              <w14:schemeClr w14:val="tx1"/>
            </w14:solidFill>
          </w14:textFill>
        </w:rPr>
        <w:t>元整，在中标(成交)结果公告发布后5日内向招标代理机构支付。</w:t>
      </w:r>
    </w:p>
    <w:p>
      <w:pPr>
        <w:snapToGrid w:val="0"/>
        <w:spacing w:line="360" w:lineRule="auto"/>
        <w:ind w:firstLine="482" w:firstLineChars="200"/>
        <w:rPr>
          <w:rFonts w:ascii="仿宋" w:hAnsi="仿宋" w:eastAsia="仿宋" w:cs="仿宋"/>
          <w:b/>
          <w:bCs/>
          <w:sz w:val="24"/>
          <w:szCs w:val="24"/>
        </w:rPr>
      </w:pPr>
    </w:p>
    <w:p>
      <w:pPr>
        <w:pStyle w:val="21"/>
        <w:jc w:val="both"/>
        <w:rPr>
          <w:lang w:val="en-US"/>
        </w:rPr>
      </w:pPr>
    </w:p>
    <w:p>
      <w:pPr>
        <w:pStyle w:val="17"/>
        <w:ind w:left="0"/>
        <w:rPr>
          <w:rFonts w:eastAsia="仿宋"/>
        </w:rPr>
        <w:sectPr>
          <w:pgSz w:w="11906" w:h="16838"/>
          <w:pgMar w:top="1440" w:right="1758" w:bottom="1440" w:left="1758" w:header="851" w:footer="851" w:gutter="0"/>
          <w:cols w:space="720" w:num="1"/>
          <w:docGrid w:linePitch="312" w:charSpace="0"/>
        </w:sectPr>
      </w:pPr>
    </w:p>
    <w:p>
      <w:pPr>
        <w:pStyle w:val="2"/>
        <w:pageBreakBefore/>
        <w:spacing w:line="560" w:lineRule="exact"/>
        <w:rPr>
          <w:rFonts w:ascii="仿宋" w:hAnsi="仿宋" w:eastAsia="仿宋" w:cs="仿宋"/>
        </w:rPr>
      </w:pPr>
      <w:bookmarkStart w:id="306" w:name="_Toc21522"/>
      <w:bookmarkStart w:id="307" w:name="_Toc14463"/>
      <w:bookmarkStart w:id="308" w:name="_Toc29598"/>
      <w:bookmarkStart w:id="309" w:name="_Toc14149"/>
      <w:bookmarkStart w:id="310" w:name="_Toc3571"/>
      <w:bookmarkStart w:id="311" w:name="_Toc7437"/>
      <w:bookmarkStart w:id="312" w:name="_Toc23581"/>
      <w:bookmarkStart w:id="313" w:name="_Toc3659"/>
      <w:r>
        <w:rPr>
          <w:rFonts w:hint="eastAsia" w:ascii="仿宋" w:hAnsi="仿宋" w:eastAsia="仿宋" w:cs="仿宋"/>
        </w:rPr>
        <w:t>第四章  采购合同格式</w:t>
      </w:r>
      <w:bookmarkEnd w:id="305"/>
      <w:bookmarkEnd w:id="306"/>
      <w:bookmarkEnd w:id="307"/>
      <w:bookmarkEnd w:id="308"/>
      <w:bookmarkEnd w:id="309"/>
      <w:bookmarkEnd w:id="310"/>
      <w:bookmarkEnd w:id="311"/>
      <w:bookmarkEnd w:id="312"/>
      <w:bookmarkEnd w:id="313"/>
      <w:bookmarkStart w:id="314" w:name="_Toc493956050"/>
    </w:p>
    <w:p/>
    <w:p>
      <w:pPr>
        <w:pStyle w:val="11"/>
        <w:spacing w:line="360" w:lineRule="auto"/>
        <w:rPr>
          <w:rFonts w:ascii="仿宋" w:hAnsi="仿宋" w:eastAsia="仿宋" w:cs="仿宋"/>
          <w:sz w:val="24"/>
          <w:szCs w:val="24"/>
        </w:rPr>
      </w:pPr>
    </w:p>
    <w:p>
      <w:pPr>
        <w:pStyle w:val="11"/>
        <w:spacing w:line="360" w:lineRule="auto"/>
        <w:rPr>
          <w:rFonts w:ascii="仿宋" w:hAnsi="仿宋" w:eastAsia="仿宋" w:cs="仿宋"/>
          <w:sz w:val="24"/>
          <w:szCs w:val="24"/>
        </w:rPr>
      </w:pPr>
      <w:r>
        <w:rPr>
          <w:rFonts w:hint="eastAsia" w:ascii="仿宋" w:hAnsi="仿宋" w:eastAsia="仿宋" w:cs="仿宋"/>
          <w:sz w:val="24"/>
          <w:szCs w:val="24"/>
        </w:rPr>
        <w:t>项目名称：                                     项目编号：</w:t>
      </w:r>
    </w:p>
    <w:p>
      <w:pPr>
        <w:pStyle w:val="11"/>
        <w:spacing w:line="360" w:lineRule="auto"/>
        <w:rPr>
          <w:rFonts w:ascii="仿宋" w:hAnsi="仿宋" w:eastAsia="仿宋" w:cs="仿宋"/>
          <w:sz w:val="24"/>
          <w:szCs w:val="24"/>
        </w:rPr>
      </w:pPr>
      <w:r>
        <w:rPr>
          <w:rFonts w:hint="eastAsia" w:ascii="仿宋" w:hAnsi="仿宋" w:eastAsia="仿宋" w:cs="仿宋"/>
          <w:sz w:val="24"/>
          <w:szCs w:val="24"/>
        </w:rPr>
        <w:t>甲方：（买方）</w:t>
      </w:r>
    </w:p>
    <w:p>
      <w:pPr>
        <w:pStyle w:val="11"/>
        <w:spacing w:line="360" w:lineRule="auto"/>
        <w:rPr>
          <w:rFonts w:ascii="仿宋" w:hAnsi="仿宋" w:eastAsia="仿宋" w:cs="仿宋"/>
          <w:sz w:val="24"/>
          <w:szCs w:val="24"/>
        </w:rPr>
      </w:pPr>
      <w:r>
        <w:rPr>
          <w:rFonts w:hint="eastAsia" w:ascii="仿宋" w:hAnsi="仿宋" w:eastAsia="仿宋" w:cs="仿宋"/>
          <w:sz w:val="24"/>
          <w:szCs w:val="24"/>
        </w:rPr>
        <w:t>乙方：（卖方）</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甲、乙双方根据</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rPr>
        <w:t>政府采购项目的采购结果，签署本合同。</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一、服务内容</w:t>
      </w:r>
      <w:r>
        <w:rPr>
          <w:rFonts w:hint="eastAsia" w:ascii="仿宋" w:hAnsi="仿宋" w:eastAsia="仿宋" w:cs="仿宋"/>
          <w:b/>
          <w:color w:val="000000"/>
          <w:sz w:val="24"/>
          <w:szCs w:val="24"/>
        </w:rPr>
        <w:t>：</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二、合同金额</w:t>
      </w:r>
      <w:r>
        <w:rPr>
          <w:rFonts w:hint="eastAsia" w:ascii="仿宋" w:hAnsi="仿宋" w:eastAsia="仿宋" w:cs="仿宋"/>
          <w:b/>
          <w:color w:val="000000"/>
          <w:sz w:val="24"/>
          <w:szCs w:val="24"/>
        </w:rPr>
        <w:t>：</w:t>
      </w:r>
    </w:p>
    <w:p>
      <w:pPr>
        <w:pStyle w:val="11"/>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 单价：</w:t>
      </w:r>
      <w:r>
        <w:rPr>
          <w:rFonts w:hint="eastAsia" w:ascii="仿宋" w:hAnsi="仿宋" w:eastAsia="仿宋" w:cs="仿宋"/>
          <w:sz w:val="24"/>
          <w:szCs w:val="24"/>
          <w:u w:val="single"/>
        </w:rPr>
        <w:t xml:space="preserve">            </w:t>
      </w:r>
      <w:r>
        <w:rPr>
          <w:rFonts w:hint="eastAsia" w:ascii="仿宋" w:hAnsi="仿宋" w:eastAsia="仿宋" w:cs="仿宋"/>
          <w:sz w:val="24"/>
          <w:szCs w:val="24"/>
        </w:rPr>
        <w:t>元/吨。（该价格包含运输、工时、保险、税金、安装、调试与试运行、培训、保修、售后服务费、配套费、计量费等一切与之相关的所有费用）。</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三、技术资料</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3.1乙方应按招标文件规定的时间向甲方提供有关技术资料。</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 没有甲方事先书面同意，乙方不得将甲方提供的有关合同或任何合同条文、规格、计划、图纸、样品或资料提供给与履行本合同无关的任何其他人。即使向履行本合同有关的人员提供，也应注意保密并限于履行合同的必需范围。</w:t>
      </w:r>
    </w:p>
    <w:p>
      <w:pPr>
        <w:pStyle w:val="11"/>
        <w:spacing w:line="360" w:lineRule="auto"/>
        <w:ind w:left="412" w:hanging="412" w:hangingChars="171"/>
        <w:rPr>
          <w:rFonts w:ascii="仿宋" w:hAnsi="仿宋" w:eastAsia="仿宋" w:cs="仿宋"/>
          <w:b/>
          <w:sz w:val="24"/>
          <w:szCs w:val="24"/>
        </w:rPr>
      </w:pPr>
      <w:r>
        <w:rPr>
          <w:rFonts w:hint="eastAsia" w:ascii="仿宋" w:hAnsi="仿宋" w:eastAsia="仿宋" w:cs="仿宋"/>
          <w:b/>
          <w:sz w:val="24"/>
          <w:szCs w:val="24"/>
        </w:rPr>
        <w:t>四、知识产权</w:t>
      </w:r>
    </w:p>
    <w:p>
      <w:pPr>
        <w:pStyle w:val="11"/>
        <w:spacing w:line="360" w:lineRule="auto"/>
        <w:ind w:left="407" w:leftChars="194"/>
        <w:rPr>
          <w:rFonts w:ascii="仿宋" w:hAnsi="仿宋" w:eastAsia="仿宋" w:cs="仿宋"/>
          <w:b/>
          <w:bCs/>
          <w:sz w:val="24"/>
          <w:szCs w:val="24"/>
        </w:rPr>
      </w:pPr>
      <w:r>
        <w:rPr>
          <w:rFonts w:hint="eastAsia" w:ascii="仿宋" w:hAnsi="仿宋" w:eastAsia="仿宋" w:cs="仿宋"/>
          <w:sz w:val="24"/>
          <w:szCs w:val="24"/>
        </w:rPr>
        <w:t>4.1 乙方应保证提供服务过程中不会侵犯任何第三方的知识产权</w:t>
      </w:r>
      <w:r>
        <w:rPr>
          <w:rFonts w:hint="eastAsia" w:ascii="仿宋" w:hAnsi="仿宋" w:eastAsia="仿宋" w:cs="仿宋"/>
          <w:bCs/>
          <w:sz w:val="24"/>
          <w:szCs w:val="24"/>
        </w:rPr>
        <w:t>。</w:t>
      </w:r>
    </w:p>
    <w:p>
      <w:pPr>
        <w:pStyle w:val="11"/>
        <w:spacing w:line="360" w:lineRule="auto"/>
        <w:ind w:left="410" w:hanging="410" w:hangingChars="170"/>
        <w:rPr>
          <w:rFonts w:ascii="仿宋" w:hAnsi="仿宋" w:eastAsia="仿宋" w:cs="仿宋"/>
          <w:b/>
          <w:sz w:val="24"/>
          <w:szCs w:val="24"/>
        </w:rPr>
      </w:pPr>
      <w:r>
        <w:rPr>
          <w:rFonts w:hint="eastAsia" w:ascii="仿宋" w:hAnsi="仿宋" w:eastAsia="仿宋" w:cs="仿宋"/>
          <w:b/>
          <w:sz w:val="24"/>
          <w:szCs w:val="24"/>
        </w:rPr>
        <w:t>五、履约保证金</w:t>
      </w:r>
    </w:p>
    <w:p>
      <w:pPr>
        <w:pStyle w:val="11"/>
        <w:spacing w:line="360" w:lineRule="auto"/>
        <w:ind w:left="407" w:leftChars="194"/>
        <w:rPr>
          <w:rFonts w:ascii="仿宋" w:hAnsi="仿宋" w:eastAsia="仿宋" w:cs="仿宋"/>
          <w:sz w:val="24"/>
          <w:szCs w:val="24"/>
        </w:rPr>
      </w:pPr>
      <w:r>
        <w:rPr>
          <w:rFonts w:hint="eastAsia" w:ascii="仿宋" w:hAnsi="仿宋" w:eastAsia="仿宋" w:cs="仿宋"/>
          <w:sz w:val="24"/>
          <w:szCs w:val="24"/>
        </w:rPr>
        <w:t>5.1 乙方交纳人民币</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rPr>
        <w:t>元作为本合同的履约保证金。</w:t>
      </w:r>
    </w:p>
    <w:p>
      <w:pPr>
        <w:spacing w:line="360" w:lineRule="auto"/>
        <w:rPr>
          <w:rFonts w:ascii="仿宋" w:hAnsi="仿宋" w:eastAsia="仿宋" w:cs="仿宋"/>
          <w:b/>
          <w:sz w:val="24"/>
          <w:szCs w:val="24"/>
        </w:rPr>
      </w:pPr>
      <w:r>
        <w:rPr>
          <w:rFonts w:hint="eastAsia" w:ascii="仿宋" w:hAnsi="仿宋" w:eastAsia="仿宋" w:cs="仿宋"/>
          <w:b/>
          <w:sz w:val="24"/>
          <w:szCs w:val="24"/>
        </w:rPr>
        <w:t>六.转包或分包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6.1本合同范围的货物，应由供方直接供应，不得转让他人供应；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6.2 除非得到需方的书面同意，供方不得部分分包给他人供应。需方有绝对权力阻止分包。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6.3如有转让和未经需方同意的分包行为，需方有权给予终止合同。</w:t>
      </w:r>
    </w:p>
    <w:p>
      <w:pPr>
        <w:pStyle w:val="11"/>
        <w:spacing w:line="360" w:lineRule="auto"/>
        <w:rPr>
          <w:rFonts w:ascii="仿宋" w:hAnsi="仿宋" w:eastAsia="仿宋" w:cs="仿宋"/>
          <w:sz w:val="24"/>
          <w:szCs w:val="24"/>
        </w:rPr>
      </w:pPr>
      <w:r>
        <w:rPr>
          <w:rFonts w:hint="eastAsia" w:ascii="仿宋" w:hAnsi="仿宋" w:eastAsia="仿宋" w:cs="仿宋"/>
          <w:b/>
          <w:sz w:val="24"/>
          <w:szCs w:val="24"/>
        </w:rPr>
        <w:t>七、服务质量保证期和服务质量保证金</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7.1 服务质量保证期</w:t>
      </w:r>
      <w:r>
        <w:rPr>
          <w:rFonts w:hint="eastAsia" w:ascii="仿宋" w:hAnsi="仿宋" w:eastAsia="仿宋" w:cs="仿宋"/>
          <w:sz w:val="24"/>
          <w:szCs w:val="24"/>
          <w:u w:val="single"/>
        </w:rPr>
        <w:t xml:space="preserve">      </w:t>
      </w:r>
      <w:r>
        <w:rPr>
          <w:rFonts w:hint="eastAsia" w:ascii="仿宋" w:hAnsi="仿宋" w:eastAsia="仿宋" w:cs="仿宋"/>
          <w:sz w:val="24"/>
          <w:szCs w:val="24"/>
        </w:rPr>
        <w:t>年。（自验收合格之日起计）</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7.2 服务质量保证金</w:t>
      </w:r>
      <w:r>
        <w:rPr>
          <w:rFonts w:hint="eastAsia" w:ascii="仿宋" w:hAnsi="仿宋" w:eastAsia="仿宋" w:cs="仿宋"/>
          <w:sz w:val="24"/>
          <w:szCs w:val="24"/>
          <w:u w:val="single"/>
        </w:rPr>
        <w:t xml:space="preserve">            </w:t>
      </w:r>
      <w:r>
        <w:rPr>
          <w:rFonts w:hint="eastAsia" w:ascii="仿宋" w:hAnsi="仿宋" w:eastAsia="仿宋" w:cs="仿宋"/>
          <w:sz w:val="24"/>
          <w:szCs w:val="24"/>
        </w:rPr>
        <w:t>元。（履约保证金在中标单位按合同约定验收合格后自行转为质保金）</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八、合同履行时间、履行方式及履行地点</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8.1 履行时间：</w:t>
      </w:r>
    </w:p>
    <w:p>
      <w:pPr>
        <w:pStyle w:val="11"/>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 xml:space="preserve">8.2 </w:t>
      </w:r>
      <w:r>
        <w:rPr>
          <w:rFonts w:hint="eastAsia" w:ascii="仿宋" w:hAnsi="仿宋" w:eastAsia="仿宋" w:cs="仿宋"/>
          <w:sz w:val="24"/>
          <w:szCs w:val="24"/>
        </w:rPr>
        <w:t>履行方式</w:t>
      </w:r>
      <w:r>
        <w:rPr>
          <w:rFonts w:hint="eastAsia" w:ascii="仿宋" w:hAnsi="仿宋" w:eastAsia="仿宋" w:cs="仿宋"/>
          <w:bCs/>
          <w:color w:val="000000"/>
          <w:sz w:val="24"/>
          <w:szCs w:val="24"/>
        </w:rPr>
        <w:t>：</w:t>
      </w:r>
      <w:r>
        <w:rPr>
          <w:rFonts w:hint="eastAsia" w:ascii="仿宋" w:hAnsi="仿宋" w:eastAsia="仿宋" w:cs="仿宋"/>
          <w:sz w:val="24"/>
          <w:szCs w:val="24"/>
          <w:u w:val="single"/>
        </w:rPr>
        <w:t>按照采购人采购文件有关内容和要求及中标人响应文件内容执行</w:t>
      </w:r>
    </w:p>
    <w:p>
      <w:pPr>
        <w:pStyle w:val="11"/>
        <w:spacing w:line="360" w:lineRule="auto"/>
        <w:ind w:firstLine="480" w:firstLineChars="200"/>
        <w:rPr>
          <w:rFonts w:ascii="仿宋" w:hAnsi="仿宋" w:eastAsia="仿宋" w:cs="仿宋"/>
          <w:color w:val="000000"/>
          <w:sz w:val="24"/>
          <w:szCs w:val="24"/>
        </w:rPr>
      </w:pPr>
      <w:r>
        <w:rPr>
          <w:rFonts w:hint="eastAsia" w:ascii="仿宋" w:hAnsi="仿宋" w:eastAsia="仿宋" w:cs="仿宋"/>
          <w:bCs/>
          <w:color w:val="000000"/>
          <w:sz w:val="24"/>
          <w:szCs w:val="24"/>
        </w:rPr>
        <w:t xml:space="preserve">8.3 </w:t>
      </w:r>
      <w:r>
        <w:rPr>
          <w:rFonts w:hint="eastAsia" w:ascii="仿宋" w:hAnsi="仿宋" w:eastAsia="仿宋" w:cs="仿宋"/>
          <w:sz w:val="24"/>
          <w:szCs w:val="24"/>
        </w:rPr>
        <w:t>履行地点</w:t>
      </w:r>
      <w:r>
        <w:rPr>
          <w:rFonts w:hint="eastAsia" w:ascii="仿宋" w:hAnsi="仿宋" w:eastAsia="仿宋" w:cs="仿宋"/>
          <w:bCs/>
          <w:color w:val="000000"/>
          <w:sz w:val="24"/>
          <w:szCs w:val="24"/>
        </w:rPr>
        <w:t>：</w:t>
      </w:r>
      <w:r>
        <w:rPr>
          <w:rFonts w:hint="eastAsia" w:ascii="仿宋" w:hAnsi="仿宋" w:eastAsia="仿宋" w:cs="仿宋"/>
          <w:sz w:val="24"/>
          <w:szCs w:val="24"/>
          <w:u w:val="single"/>
        </w:rPr>
        <w:t>由采购人指定地点</w:t>
      </w:r>
    </w:p>
    <w:p>
      <w:pPr>
        <w:pStyle w:val="11"/>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九、款项支付</w:t>
      </w:r>
    </w:p>
    <w:p>
      <w:pPr>
        <w:spacing w:line="360" w:lineRule="auto"/>
        <w:ind w:firstLine="482"/>
        <w:rPr>
          <w:rFonts w:ascii="仿宋" w:hAnsi="仿宋" w:eastAsia="仿宋" w:cs="仿宋"/>
          <w:sz w:val="24"/>
          <w:szCs w:val="24"/>
        </w:rPr>
      </w:pPr>
      <w:r>
        <w:rPr>
          <w:rFonts w:hint="eastAsia" w:ascii="仿宋" w:hAnsi="仿宋" w:eastAsia="仿宋" w:cs="仿宋"/>
          <w:sz w:val="24"/>
          <w:szCs w:val="24"/>
        </w:rPr>
        <w:t>9.1 付款方式：</w:t>
      </w:r>
    </w:p>
    <w:p>
      <w:pPr>
        <w:pStyle w:val="11"/>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十、税费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11.1本合同执行中相关的一切税费均由供方负担。</w:t>
      </w:r>
    </w:p>
    <w:p>
      <w:pPr>
        <w:pStyle w:val="11"/>
        <w:spacing w:line="360" w:lineRule="auto"/>
        <w:ind w:left="412" w:hanging="412" w:hangingChars="171"/>
        <w:rPr>
          <w:rFonts w:ascii="仿宋" w:hAnsi="仿宋" w:eastAsia="仿宋" w:cs="仿宋"/>
          <w:sz w:val="24"/>
          <w:szCs w:val="24"/>
        </w:rPr>
      </w:pPr>
      <w:r>
        <w:rPr>
          <w:rFonts w:hint="eastAsia" w:ascii="仿宋" w:hAnsi="仿宋" w:eastAsia="仿宋" w:cs="仿宋"/>
          <w:b/>
          <w:sz w:val="24"/>
          <w:szCs w:val="24"/>
        </w:rPr>
        <w:t>十一、质量保证及后续服务</w:t>
      </w:r>
    </w:p>
    <w:p>
      <w:pPr>
        <w:pStyle w:val="11"/>
        <w:spacing w:line="360" w:lineRule="auto"/>
        <w:ind w:left="407" w:leftChars="194"/>
        <w:rPr>
          <w:rFonts w:ascii="仿宋" w:hAnsi="仿宋" w:eastAsia="仿宋" w:cs="仿宋"/>
          <w:sz w:val="24"/>
          <w:szCs w:val="24"/>
        </w:rPr>
      </w:pPr>
      <w:r>
        <w:rPr>
          <w:rFonts w:hint="eastAsia" w:ascii="仿宋" w:hAnsi="仿宋" w:eastAsia="仿宋" w:cs="仿宋"/>
          <w:sz w:val="24"/>
          <w:szCs w:val="24"/>
        </w:rPr>
        <w:t>11.1 乙方应按谈判文件规定向甲方提供服务。</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11.2 乙方提供的服务成果在服务质量保证期内发生故障，乙方应负责免费提供后续服务。对达不到要求的，根据实际情况，经双方协商，可按以下办法处理：</w:t>
      </w:r>
    </w:p>
    <w:p>
      <w:pPr>
        <w:pStyle w:val="11"/>
        <w:spacing w:line="360" w:lineRule="auto"/>
        <w:ind w:firstLine="420"/>
        <w:rPr>
          <w:rFonts w:ascii="仿宋" w:hAnsi="仿宋" w:eastAsia="仿宋" w:cs="仿宋"/>
          <w:sz w:val="24"/>
          <w:szCs w:val="24"/>
        </w:rPr>
      </w:pPr>
      <w:r>
        <w:rPr>
          <w:rFonts w:hint="eastAsia" w:ascii="仿宋" w:hAnsi="仿宋" w:eastAsia="仿宋" w:cs="仿宋"/>
          <w:sz w:val="24"/>
          <w:szCs w:val="24"/>
        </w:rPr>
        <w:t>（1）重做：由乙方承担所发生的全部费用。</w:t>
      </w:r>
    </w:p>
    <w:p>
      <w:pPr>
        <w:pStyle w:val="11"/>
        <w:spacing w:line="360" w:lineRule="auto"/>
        <w:ind w:firstLine="420"/>
        <w:rPr>
          <w:rFonts w:ascii="仿宋" w:hAnsi="仿宋" w:eastAsia="仿宋" w:cs="仿宋"/>
          <w:sz w:val="24"/>
          <w:szCs w:val="24"/>
        </w:rPr>
      </w:pPr>
      <w:r>
        <w:rPr>
          <w:rFonts w:hint="eastAsia" w:ascii="仿宋" w:hAnsi="仿宋" w:eastAsia="仿宋" w:cs="仿宋"/>
          <w:sz w:val="24"/>
          <w:szCs w:val="24"/>
        </w:rPr>
        <w:t>（2）贬值处理：由甲乙双方合议定价。</w:t>
      </w:r>
    </w:p>
    <w:p>
      <w:pPr>
        <w:pStyle w:val="11"/>
        <w:spacing w:line="360" w:lineRule="auto"/>
        <w:ind w:left="420" w:leftChars="200"/>
        <w:rPr>
          <w:rFonts w:ascii="仿宋" w:hAnsi="仿宋" w:eastAsia="仿宋" w:cs="仿宋"/>
          <w:sz w:val="24"/>
          <w:szCs w:val="24"/>
        </w:rPr>
      </w:pPr>
      <w:r>
        <w:rPr>
          <w:rFonts w:hint="eastAsia" w:ascii="仿宋" w:hAnsi="仿宋" w:eastAsia="仿宋" w:cs="仿宋"/>
          <w:sz w:val="24"/>
          <w:szCs w:val="24"/>
        </w:rPr>
        <w:t>（3）解除合同。</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11.3 如在使用过程中发生问题，乙方在接到甲方通知后</w:t>
      </w:r>
      <w:r>
        <w:rPr>
          <w:rFonts w:hint="eastAsia" w:ascii="仿宋" w:hAnsi="仿宋" w:eastAsia="仿宋" w:cs="仿宋"/>
          <w:color w:val="000000"/>
          <w:sz w:val="24"/>
          <w:szCs w:val="24"/>
        </w:rPr>
        <w:t>在</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小时</w:t>
      </w:r>
      <w:r>
        <w:rPr>
          <w:rFonts w:hint="eastAsia" w:ascii="仿宋" w:hAnsi="仿宋" w:eastAsia="仿宋" w:cs="仿宋"/>
          <w:sz w:val="24"/>
          <w:szCs w:val="24"/>
        </w:rPr>
        <w:t>内到达甲方现场。</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11.4 在服务质量保证期内，乙方应对出现的质量及安全问题负责处理解决并承担一切费用。</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十二、违约责任</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12.1 甲方无正当理由拒绝接受服务的，甲方向乙方偿付合同款项百分之五的违约金。</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12.2 甲方无故逾期验收和办理款项支付手续的,甲方应按逾期付款总额每日万分之五向乙方支付违约金。</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12.3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十三、不可抗力事件处理</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13.1 在合同有效期内，任何一方因不可抗力事件导致不能履行合同，则合同履行期可延长，其延长期与不可抗力影响期相同。</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13.2 不可抗力事件发生后，应立即通知对方，并寄送有关权威机构出具的证明。</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13.3 不可抗力事件延续120天以上，双方应通过友好协商，确定是否继续履行合同。</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十四、诉讼</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14.1 双方在执行合同中所发生的一切争议，应通过协商解决。如协商不成，可向合同签订地法院起诉。</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十五、合同生效及其它</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15.1 合同经双方法定代表人或授权委托代理人签字并加盖单位公章后生效。</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15.2合同执行中涉及采购资金和采购内容修改或补充的，须经财政部门审批，并签书面补充协议报政府采购监督管理部门备案，方可作为主合同不可分割的一部分。</w:t>
      </w:r>
    </w:p>
    <w:p>
      <w:pPr>
        <w:pStyle w:val="11"/>
        <w:spacing w:line="360" w:lineRule="auto"/>
        <w:ind w:left="479" w:leftChars="228"/>
        <w:rPr>
          <w:rFonts w:ascii="仿宋" w:hAnsi="仿宋" w:eastAsia="仿宋" w:cs="仿宋"/>
          <w:sz w:val="24"/>
          <w:szCs w:val="24"/>
        </w:rPr>
      </w:pPr>
      <w:r>
        <w:rPr>
          <w:rFonts w:hint="eastAsia" w:ascii="仿宋" w:hAnsi="仿宋" w:eastAsia="仿宋" w:cs="仿宋"/>
          <w:sz w:val="24"/>
          <w:szCs w:val="24"/>
        </w:rPr>
        <w:t>15.3本合同未尽事宜，遵照《民法典》有关条文执行。</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 本合同正本一式两份，具有同等法律效力，甲乙双方各执一份；副本</w:t>
      </w:r>
      <w:r>
        <w:rPr>
          <w:rFonts w:hint="eastAsia" w:ascii="仿宋" w:hAnsi="仿宋" w:eastAsia="仿宋" w:cs="仿宋"/>
          <w:b/>
          <w:sz w:val="24"/>
          <w:szCs w:val="24"/>
        </w:rPr>
        <w:t>＿＿</w:t>
      </w:r>
      <w:r>
        <w:rPr>
          <w:rFonts w:hint="eastAsia" w:ascii="仿宋" w:hAnsi="仿宋" w:eastAsia="仿宋" w:cs="仿宋"/>
          <w:sz w:val="24"/>
          <w:szCs w:val="24"/>
        </w:rPr>
        <w:t>份，(用途)。</w:t>
      </w:r>
    </w:p>
    <w:p>
      <w:pPr>
        <w:pStyle w:val="11"/>
        <w:spacing w:line="360" w:lineRule="auto"/>
        <w:ind w:left="480" w:hanging="480" w:hangingChars="200"/>
        <w:rPr>
          <w:rFonts w:ascii="仿宋" w:hAnsi="仿宋" w:eastAsia="仿宋" w:cs="仿宋"/>
          <w:sz w:val="24"/>
          <w:szCs w:val="24"/>
        </w:rPr>
      </w:pPr>
      <w:r>
        <w:rPr>
          <w:rFonts w:hint="eastAsia" w:ascii="仿宋" w:hAnsi="仿宋" w:eastAsia="仿宋" w:cs="仿宋"/>
          <w:sz w:val="24"/>
          <w:szCs w:val="24"/>
        </w:rPr>
        <w:t xml:space="preserve">甲方：                                   乙方： </w:t>
      </w:r>
    </w:p>
    <w:p>
      <w:pPr>
        <w:pStyle w:val="11"/>
        <w:spacing w:line="360" w:lineRule="auto"/>
        <w:rPr>
          <w:rFonts w:ascii="仿宋" w:hAnsi="仿宋" w:eastAsia="仿宋" w:cs="仿宋"/>
          <w:sz w:val="24"/>
          <w:szCs w:val="24"/>
        </w:rPr>
      </w:pPr>
      <w:r>
        <w:rPr>
          <w:rFonts w:hint="eastAsia" w:ascii="仿宋" w:hAnsi="仿宋" w:eastAsia="仿宋" w:cs="仿宋"/>
          <w:sz w:val="24"/>
          <w:szCs w:val="24"/>
        </w:rPr>
        <w:t xml:space="preserve">地址：                                   地址： </w:t>
      </w:r>
    </w:p>
    <w:p>
      <w:pPr>
        <w:pStyle w:val="11"/>
        <w:spacing w:line="360" w:lineRule="auto"/>
        <w:rPr>
          <w:rFonts w:ascii="仿宋" w:hAnsi="仿宋" w:eastAsia="仿宋" w:cs="仿宋"/>
          <w:sz w:val="24"/>
          <w:szCs w:val="24"/>
        </w:rPr>
      </w:pPr>
      <w:r>
        <w:rPr>
          <w:rFonts w:hint="eastAsia" w:ascii="仿宋" w:hAnsi="仿宋" w:eastAsia="仿宋" w:cs="仿宋"/>
          <w:sz w:val="24"/>
          <w:szCs w:val="24"/>
        </w:rPr>
        <w:t>法定代表人：                             法定代表人：</w:t>
      </w:r>
    </w:p>
    <w:p>
      <w:pPr>
        <w:pStyle w:val="11"/>
        <w:spacing w:line="360" w:lineRule="auto"/>
        <w:rPr>
          <w:rFonts w:ascii="仿宋" w:hAnsi="仿宋" w:eastAsia="仿宋" w:cs="仿宋"/>
          <w:sz w:val="24"/>
          <w:szCs w:val="24"/>
        </w:rPr>
      </w:pPr>
      <w:r>
        <w:rPr>
          <w:rFonts w:hint="eastAsia" w:ascii="仿宋" w:hAnsi="仿宋" w:eastAsia="仿宋" w:cs="仿宋"/>
          <w:sz w:val="24"/>
          <w:szCs w:val="24"/>
        </w:rPr>
        <w:t xml:space="preserve">签订地点： </w:t>
      </w:r>
    </w:p>
    <w:p>
      <w:pPr>
        <w:pStyle w:val="11"/>
        <w:spacing w:line="360" w:lineRule="auto"/>
        <w:rPr>
          <w:rFonts w:ascii="仿宋" w:hAnsi="仿宋" w:eastAsia="仿宋" w:cs="仿宋"/>
          <w:sz w:val="24"/>
          <w:szCs w:val="24"/>
        </w:rPr>
      </w:pPr>
      <w:r>
        <w:rPr>
          <w:rFonts w:hint="eastAsia" w:ascii="仿宋" w:hAnsi="仿宋" w:eastAsia="仿宋" w:cs="仿宋"/>
          <w:sz w:val="24"/>
          <w:szCs w:val="24"/>
        </w:rPr>
        <w:t>签订日期：      年  月  日</w:t>
      </w:r>
    </w:p>
    <w:p>
      <w:pPr>
        <w:pStyle w:val="11"/>
        <w:spacing w:line="360" w:lineRule="auto"/>
        <w:rPr>
          <w:rFonts w:ascii="仿宋" w:hAnsi="仿宋" w:eastAsia="仿宋" w:cs="仿宋"/>
          <w:sz w:val="24"/>
          <w:szCs w:val="24"/>
        </w:rPr>
      </w:pPr>
    </w:p>
    <w:p>
      <w:pPr>
        <w:spacing w:line="360" w:lineRule="auto"/>
        <w:jc w:val="left"/>
        <w:rPr>
          <w:rFonts w:ascii="仿宋" w:hAnsi="仿宋" w:eastAsia="仿宋" w:cs="仿宋"/>
          <w:b/>
          <w:sz w:val="24"/>
        </w:rPr>
      </w:pPr>
      <w:r>
        <w:rPr>
          <w:rFonts w:hint="eastAsia" w:ascii="仿宋" w:hAnsi="仿宋" w:eastAsia="仿宋" w:cs="仿宋"/>
          <w:b/>
          <w:sz w:val="24"/>
        </w:rPr>
        <w:t>注：本合同为示范文本，具体以中标人与采购人所签定正式合同为准, 但合同内容不得违背本招标文件实质性要求。</w:t>
      </w:r>
    </w:p>
    <w:p>
      <w:pPr>
        <w:pStyle w:val="9"/>
        <w:snapToGrid w:val="0"/>
        <w:ind w:firstLine="482"/>
        <w:textAlignment w:val="baseline"/>
        <w:rPr>
          <w:rFonts w:ascii="仿宋" w:hAnsi="仿宋" w:eastAsia="仿宋" w:cs="仿宋"/>
          <w:b/>
          <w:sz w:val="24"/>
        </w:rPr>
      </w:pPr>
    </w:p>
    <w:p>
      <w:pPr>
        <w:pStyle w:val="2"/>
        <w:pageBreakBefore/>
        <w:spacing w:line="560" w:lineRule="exact"/>
        <w:rPr>
          <w:rFonts w:ascii="仿宋" w:hAnsi="仿宋" w:eastAsia="仿宋" w:cs="仿宋"/>
        </w:rPr>
      </w:pPr>
      <w:bookmarkStart w:id="315" w:name="_Toc28805"/>
      <w:bookmarkStart w:id="316" w:name="_Toc14015"/>
      <w:bookmarkStart w:id="317" w:name="_Toc17558"/>
      <w:bookmarkStart w:id="318" w:name="_Toc27325"/>
      <w:bookmarkStart w:id="319" w:name="_Toc14757"/>
      <w:bookmarkStart w:id="320" w:name="_Toc14205"/>
      <w:bookmarkStart w:id="321" w:name="_Toc22204"/>
      <w:bookmarkStart w:id="322" w:name="_Toc6825"/>
      <w:r>
        <w:rPr>
          <w:rFonts w:hint="eastAsia" w:ascii="仿宋" w:hAnsi="仿宋" w:eastAsia="仿宋" w:cs="仿宋"/>
        </w:rPr>
        <w:t>第五章  投标相关文件格式</w:t>
      </w:r>
      <w:bookmarkEnd w:id="314"/>
      <w:bookmarkEnd w:id="315"/>
      <w:bookmarkEnd w:id="316"/>
      <w:bookmarkEnd w:id="317"/>
      <w:bookmarkEnd w:id="318"/>
      <w:bookmarkEnd w:id="319"/>
      <w:bookmarkEnd w:id="320"/>
      <w:bookmarkEnd w:id="321"/>
      <w:bookmarkEnd w:id="322"/>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snapToGrid w:val="0"/>
        <w:textAlignment w:val="baseline"/>
        <w:rPr>
          <w:rFonts w:ascii="仿宋" w:hAnsi="仿宋" w:eastAsia="仿宋" w:cs="仿宋"/>
          <w:sz w:val="36"/>
          <w:szCs w:val="36"/>
        </w:rPr>
      </w:pPr>
    </w:p>
    <w:p>
      <w:pPr>
        <w:pStyle w:val="4"/>
        <w:snapToGrid w:val="0"/>
        <w:spacing w:before="240" w:after="240"/>
        <w:ind w:firstLine="0" w:firstLineChars="0"/>
        <w:jc w:val="center"/>
        <w:textAlignment w:val="baseline"/>
        <w:rPr>
          <w:rFonts w:ascii="仿宋" w:hAnsi="仿宋" w:eastAsia="仿宋" w:cs="仿宋"/>
          <w:sz w:val="44"/>
          <w:szCs w:val="44"/>
        </w:rPr>
      </w:pPr>
      <w:bookmarkStart w:id="323" w:name="_Toc31607"/>
      <w:bookmarkStart w:id="324" w:name="_Toc493956051"/>
      <w:bookmarkStart w:id="325" w:name="_Toc32471"/>
      <w:bookmarkStart w:id="326" w:name="_Toc11282"/>
      <w:bookmarkStart w:id="327" w:name="_Toc393"/>
      <w:bookmarkStart w:id="328" w:name="_Toc15734"/>
      <w:bookmarkStart w:id="329" w:name="_Toc11496"/>
      <w:bookmarkStart w:id="330" w:name="_Toc358"/>
      <w:bookmarkStart w:id="331" w:name="_Toc7922"/>
      <w:r>
        <w:rPr>
          <w:rFonts w:hint="eastAsia" w:ascii="仿宋" w:hAnsi="仿宋" w:eastAsia="仿宋" w:cs="仿宋"/>
          <w:sz w:val="44"/>
          <w:szCs w:val="44"/>
        </w:rPr>
        <w:t>一、资格审查文件格式</w:t>
      </w:r>
      <w:bookmarkEnd w:id="323"/>
      <w:bookmarkEnd w:id="324"/>
      <w:bookmarkEnd w:id="325"/>
      <w:bookmarkEnd w:id="326"/>
      <w:bookmarkEnd w:id="327"/>
      <w:bookmarkEnd w:id="328"/>
      <w:bookmarkEnd w:id="329"/>
      <w:bookmarkEnd w:id="330"/>
      <w:bookmarkEnd w:id="331"/>
    </w:p>
    <w:p>
      <w:pPr>
        <w:pStyle w:val="5"/>
        <w:snapToGrid w:val="0"/>
        <w:ind w:firstLine="0"/>
        <w:textAlignment w:val="baseline"/>
        <w:rPr>
          <w:rFonts w:ascii="仿宋" w:hAnsi="仿宋" w:eastAsia="仿宋" w:cs="仿宋"/>
        </w:rPr>
        <w:sectPr>
          <w:footerReference r:id="rId10" w:type="default"/>
          <w:pgSz w:w="11906" w:h="16838"/>
          <w:pgMar w:top="1440" w:right="1758" w:bottom="1440" w:left="1758" w:header="851" w:footer="851" w:gutter="0"/>
          <w:pgNumType w:start="34"/>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332" w:name="_Toc562"/>
      <w:bookmarkStart w:id="333" w:name="_Toc25606"/>
      <w:bookmarkStart w:id="334" w:name="_Toc22174"/>
      <w:bookmarkStart w:id="335" w:name="_Toc2174"/>
      <w:bookmarkStart w:id="336" w:name="_Toc7504"/>
      <w:bookmarkStart w:id="337" w:name="_Toc610"/>
      <w:bookmarkStart w:id="338" w:name="_Toc493956052"/>
      <w:bookmarkStart w:id="339" w:name="_Toc27561"/>
      <w:bookmarkStart w:id="340" w:name="_Toc14543"/>
      <w:r>
        <w:rPr>
          <w:rFonts w:hint="eastAsia" w:ascii="仿宋" w:hAnsi="仿宋" w:eastAsia="仿宋" w:cs="仿宋"/>
          <w:sz w:val="32"/>
          <w:szCs w:val="32"/>
        </w:rPr>
        <w:t>1、公司有效营业执照复印件</w:t>
      </w:r>
      <w:bookmarkEnd w:id="332"/>
      <w:bookmarkEnd w:id="333"/>
      <w:bookmarkEnd w:id="334"/>
      <w:bookmarkEnd w:id="335"/>
      <w:bookmarkEnd w:id="336"/>
      <w:bookmarkEnd w:id="337"/>
      <w:bookmarkEnd w:id="338"/>
      <w:bookmarkEnd w:id="339"/>
      <w:bookmarkEnd w:id="340"/>
    </w:p>
    <w:p>
      <w:pPr>
        <w:pStyle w:val="47"/>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要求：</w:t>
      </w:r>
    </w:p>
    <w:p>
      <w:pPr>
        <w:pStyle w:val="47"/>
        <w:numPr>
          <w:ilvl w:val="0"/>
          <w:numId w:val="2"/>
        </w:numPr>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提供有效的营业执照；</w:t>
      </w:r>
    </w:p>
    <w:p>
      <w:pPr>
        <w:pStyle w:val="47"/>
        <w:numPr>
          <w:ilvl w:val="0"/>
          <w:numId w:val="2"/>
        </w:numPr>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复印须加盖公章确认。</w:t>
      </w:r>
    </w:p>
    <w:p>
      <w:pPr>
        <w:pStyle w:val="47"/>
        <w:snapToGrid w:val="0"/>
        <w:spacing w:line="440" w:lineRule="exact"/>
        <w:ind w:firstLine="480"/>
        <w:textAlignment w:val="baseline"/>
        <w:rPr>
          <w:rFonts w:ascii="仿宋" w:hAnsi="仿宋" w:eastAsia="仿宋" w:cs="仿宋"/>
          <w:sz w:val="24"/>
          <w:szCs w:val="24"/>
        </w:rPr>
      </w:pPr>
    </w:p>
    <w:p>
      <w:pPr>
        <w:pStyle w:val="4"/>
        <w:snapToGrid w:val="0"/>
        <w:spacing w:before="240" w:after="240"/>
        <w:ind w:firstLine="0" w:firstLineChars="0"/>
        <w:jc w:val="center"/>
        <w:textAlignment w:val="baseline"/>
        <w:rPr>
          <w:rFonts w:ascii="仿宋" w:hAnsi="仿宋" w:eastAsia="仿宋" w:cs="仿宋"/>
          <w:sz w:val="32"/>
          <w:szCs w:val="32"/>
        </w:rPr>
        <w:sectPr>
          <w:pgSz w:w="11906" w:h="16838"/>
          <w:pgMar w:top="1440" w:right="1758" w:bottom="1440" w:left="1758" w:header="851" w:footer="851" w:gutter="0"/>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341" w:name="_Toc31936"/>
      <w:bookmarkStart w:id="342" w:name="_Toc493956053"/>
      <w:bookmarkStart w:id="343" w:name="_Toc18136"/>
      <w:bookmarkStart w:id="344" w:name="_Toc19725"/>
      <w:bookmarkStart w:id="345" w:name="_Toc22558"/>
      <w:bookmarkStart w:id="346" w:name="_Toc2557"/>
      <w:bookmarkStart w:id="347" w:name="_Toc6635"/>
      <w:bookmarkStart w:id="348" w:name="_Toc24869"/>
      <w:bookmarkStart w:id="349" w:name="_Toc21038"/>
      <w:r>
        <w:rPr>
          <w:rFonts w:hint="eastAsia" w:ascii="仿宋" w:hAnsi="仿宋" w:eastAsia="仿宋" w:cs="仿宋"/>
          <w:sz w:val="32"/>
          <w:szCs w:val="32"/>
        </w:rPr>
        <w:t>2、授权委托书</w:t>
      </w:r>
      <w:bookmarkEnd w:id="341"/>
      <w:bookmarkEnd w:id="342"/>
      <w:bookmarkEnd w:id="343"/>
      <w:bookmarkEnd w:id="344"/>
      <w:bookmarkEnd w:id="345"/>
      <w:bookmarkEnd w:id="346"/>
      <w:bookmarkEnd w:id="347"/>
      <w:bookmarkEnd w:id="348"/>
      <w:bookmarkEnd w:id="349"/>
    </w:p>
    <w:p>
      <w:pPr>
        <w:pStyle w:val="47"/>
        <w:snapToGrid w:val="0"/>
        <w:spacing w:line="440" w:lineRule="exact"/>
        <w:textAlignment w:val="baseline"/>
        <w:rPr>
          <w:rFonts w:ascii="仿宋" w:hAnsi="仿宋" w:eastAsia="仿宋" w:cs="仿宋"/>
          <w:b/>
          <w:bCs/>
          <w:sz w:val="24"/>
          <w:szCs w:val="24"/>
        </w:rPr>
      </w:pPr>
      <w:r>
        <w:rPr>
          <w:rFonts w:hint="eastAsia" w:ascii="仿宋" w:hAnsi="仿宋" w:eastAsia="仿宋" w:cs="仿宋"/>
          <w:sz w:val="24"/>
          <w:szCs w:val="24"/>
        </w:rPr>
        <w:t>（采购代理机构）：</w:t>
      </w:r>
    </w:p>
    <w:p>
      <w:pPr>
        <w:pStyle w:val="47"/>
        <w:snapToGrid w:val="0"/>
        <w:spacing w:line="440" w:lineRule="exact"/>
        <w:ind w:firstLine="480" w:firstLineChars="200"/>
        <w:textAlignment w:val="bottom"/>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color="000000"/>
        </w:rPr>
        <w:t xml:space="preserve">   （负责人姓名）</w:t>
      </w:r>
      <w:r>
        <w:rPr>
          <w:rFonts w:hint="eastAsia" w:ascii="仿宋" w:hAnsi="仿宋" w:eastAsia="仿宋" w:cs="仿宋"/>
          <w:sz w:val="24"/>
          <w:szCs w:val="24"/>
        </w:rPr>
        <w:t>系</w:t>
      </w:r>
      <w:r>
        <w:rPr>
          <w:rFonts w:hint="eastAsia" w:ascii="仿宋" w:hAnsi="仿宋" w:eastAsia="仿宋" w:cs="仿宋"/>
          <w:sz w:val="24"/>
          <w:szCs w:val="24"/>
          <w:u w:val="single" w:color="000000"/>
        </w:rPr>
        <w:t xml:space="preserve">   （投标人全称）</w:t>
      </w:r>
      <w:r>
        <w:rPr>
          <w:rFonts w:hint="eastAsia" w:ascii="仿宋" w:hAnsi="仿宋" w:eastAsia="仿宋" w:cs="仿宋"/>
          <w:sz w:val="24"/>
          <w:szCs w:val="24"/>
        </w:rPr>
        <w:t>的负责人，现授权委托本单位在职职工</w:t>
      </w:r>
      <w:r>
        <w:rPr>
          <w:rFonts w:hint="eastAsia" w:ascii="仿宋" w:hAnsi="仿宋" w:eastAsia="仿宋" w:cs="仿宋"/>
          <w:sz w:val="24"/>
          <w:szCs w:val="24"/>
          <w:u w:val="single" w:color="000000"/>
        </w:rPr>
        <w:t xml:space="preserve">   （姓名）</w:t>
      </w:r>
      <w:r>
        <w:rPr>
          <w:rFonts w:hint="eastAsia" w:ascii="仿宋" w:hAnsi="仿宋" w:eastAsia="仿宋" w:cs="仿宋"/>
          <w:sz w:val="24"/>
          <w:szCs w:val="24"/>
        </w:rPr>
        <w:t>以我方的名义参加就贵方组织的</w:t>
      </w:r>
      <w:r>
        <w:rPr>
          <w:rFonts w:hint="eastAsia" w:ascii="仿宋" w:hAnsi="仿宋" w:eastAsia="仿宋" w:cs="仿宋"/>
          <w:sz w:val="24"/>
          <w:szCs w:val="24"/>
          <w:u w:val="single" w:color="000000"/>
        </w:rPr>
        <w:t>（采购项目名称）</w:t>
      </w:r>
      <w:r>
        <w:rPr>
          <w:rFonts w:hint="eastAsia" w:ascii="仿宋" w:hAnsi="仿宋" w:eastAsia="仿宋" w:cs="仿宋"/>
          <w:sz w:val="24"/>
          <w:szCs w:val="24"/>
        </w:rPr>
        <w:t>（采购编号：</w:t>
      </w:r>
      <w:r>
        <w:rPr>
          <w:rFonts w:hint="eastAsia" w:ascii="仿宋" w:hAnsi="仿宋" w:eastAsia="仿宋" w:cs="仿宋"/>
          <w:sz w:val="24"/>
          <w:szCs w:val="24"/>
          <w:u w:val="single" w:color="000000"/>
        </w:rPr>
        <w:t>　　　　</w:t>
      </w:r>
      <w:r>
        <w:rPr>
          <w:rFonts w:hint="eastAsia" w:ascii="仿宋" w:hAnsi="仿宋" w:eastAsia="仿宋" w:cs="仿宋"/>
          <w:sz w:val="24"/>
          <w:szCs w:val="24"/>
        </w:rPr>
        <w:t>）项目的投标活动，并代表我方全权办理针对上述项目的投标、开标、评审、签约等具体事务和签署相关文件。</w:t>
      </w:r>
    </w:p>
    <w:p>
      <w:pPr>
        <w:pStyle w:val="47"/>
        <w:snapToGrid w:val="0"/>
        <w:spacing w:line="440" w:lineRule="exact"/>
        <w:ind w:firstLine="480" w:firstLineChars="200"/>
        <w:textAlignment w:val="bottom"/>
        <w:rPr>
          <w:rFonts w:ascii="仿宋" w:hAnsi="仿宋" w:eastAsia="仿宋" w:cs="仿宋"/>
          <w:sz w:val="24"/>
          <w:szCs w:val="24"/>
        </w:rPr>
      </w:pPr>
      <w:r>
        <w:rPr>
          <w:rFonts w:hint="eastAsia" w:ascii="仿宋" w:hAnsi="仿宋" w:eastAsia="仿宋" w:cs="仿宋"/>
          <w:sz w:val="24"/>
          <w:szCs w:val="24"/>
        </w:rPr>
        <w:t>我方对被委托人的签字或盖章事项负全部责任。</w:t>
      </w:r>
    </w:p>
    <w:p>
      <w:pPr>
        <w:pStyle w:val="47"/>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本授权书自签署之日起生效，在撤销授权的书面通知送达贵方以前，本授权委托书一直有效。被委托人在授权书有效期内签署的所有文件不因授权的撤销而失效。</w:t>
      </w:r>
    </w:p>
    <w:p>
      <w:pPr>
        <w:pStyle w:val="47"/>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被委托人无转委托权，特此声明。</w:t>
      </w:r>
    </w:p>
    <w:p>
      <w:pPr>
        <w:pStyle w:val="47"/>
        <w:snapToGrid w:val="0"/>
        <w:spacing w:line="440" w:lineRule="exact"/>
        <w:ind w:firstLine="480"/>
        <w:textAlignment w:val="baseline"/>
        <w:rPr>
          <w:rFonts w:ascii="仿宋" w:hAnsi="仿宋" w:eastAsia="仿宋" w:cs="仿宋"/>
          <w:sz w:val="24"/>
          <w:szCs w:val="24"/>
        </w:rPr>
      </w:pPr>
    </w:p>
    <w:p>
      <w:pPr>
        <w:pStyle w:val="47"/>
        <w:snapToGrid w:val="0"/>
        <w:spacing w:line="440" w:lineRule="exact"/>
        <w:ind w:firstLine="4480" w:firstLineChars="1600"/>
        <w:textAlignment w:val="baseline"/>
        <w:rPr>
          <w:rFonts w:ascii="仿宋" w:hAnsi="仿宋" w:eastAsia="仿宋" w:cs="仿宋"/>
          <w:spacing w:val="20"/>
          <w:sz w:val="24"/>
          <w:szCs w:val="24"/>
        </w:rPr>
      </w:pPr>
      <w:r>
        <w:rPr>
          <w:rFonts w:hint="eastAsia" w:ascii="仿宋" w:hAnsi="仿宋" w:eastAsia="仿宋" w:cs="仿宋"/>
          <w:spacing w:val="20"/>
          <w:sz w:val="24"/>
          <w:szCs w:val="24"/>
        </w:rPr>
        <w:t>负责人签字或盖章：</w:t>
      </w:r>
    </w:p>
    <w:p>
      <w:pPr>
        <w:pStyle w:val="47"/>
        <w:snapToGrid w:val="0"/>
        <w:spacing w:line="440" w:lineRule="exact"/>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47"/>
        <w:snapToGrid w:val="0"/>
        <w:spacing w:line="440" w:lineRule="exact"/>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日期：</w:t>
      </w:r>
    </w:p>
    <w:p>
      <w:pPr>
        <w:pStyle w:val="47"/>
        <w:snapToGrid w:val="0"/>
        <w:spacing w:line="440" w:lineRule="exact"/>
        <w:textAlignment w:val="baseline"/>
        <w:rPr>
          <w:rFonts w:ascii="仿宋" w:hAnsi="仿宋" w:eastAsia="仿宋" w:cs="仿宋"/>
          <w:sz w:val="24"/>
          <w:szCs w:val="24"/>
          <w:u w:val="single"/>
        </w:rPr>
      </w:pPr>
      <w:r>
        <w:rPr>
          <w:rFonts w:hint="eastAsia" w:ascii="仿宋" w:hAnsi="仿宋" w:eastAsia="仿宋" w:cs="仿宋"/>
          <w:sz w:val="24"/>
          <w:szCs w:val="24"/>
          <w:u w:val="single" w:color="000000"/>
        </w:rPr>
        <w:t>_____________________________________________________________________</w:t>
      </w:r>
    </w:p>
    <w:p>
      <w:pPr>
        <w:pStyle w:val="47"/>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附：1、被委托人工作单位：</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职务：</w:t>
      </w:r>
    </w:p>
    <w:p>
      <w:pPr>
        <w:pStyle w:val="47"/>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身份证号码：　　　　　　　　　　</w:t>
      </w:r>
      <w:r>
        <w:rPr>
          <w:rFonts w:hint="eastAsia" w:ascii="仿宋" w:hAnsi="仿宋" w:eastAsia="仿宋" w:cs="仿宋"/>
          <w:sz w:val="24"/>
          <w:szCs w:val="24"/>
        </w:rPr>
        <w:tab/>
      </w:r>
      <w:r>
        <w:rPr>
          <w:rFonts w:hint="eastAsia" w:ascii="仿宋" w:hAnsi="仿宋" w:eastAsia="仿宋" w:cs="仿宋"/>
          <w:sz w:val="24"/>
          <w:szCs w:val="24"/>
        </w:rPr>
        <w:t>性别：　</w:t>
      </w:r>
    </w:p>
    <w:p>
      <w:pPr>
        <w:pStyle w:val="47"/>
        <w:snapToGrid w:val="0"/>
        <w:spacing w:line="360" w:lineRule="auto"/>
        <w:ind w:firstLine="420"/>
        <w:textAlignment w:val="baseline"/>
        <w:rPr>
          <w:rFonts w:ascii="仿宋" w:hAnsi="仿宋" w:eastAsia="仿宋" w:cs="仿宋"/>
          <w:b/>
          <w:bCs/>
          <w:sz w:val="24"/>
          <w:szCs w:val="24"/>
        </w:rPr>
      </w:pPr>
    </w:p>
    <w:p>
      <w:pPr>
        <w:pStyle w:val="47"/>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b/>
          <w:bCs/>
          <w:sz w:val="24"/>
          <w:szCs w:val="24"/>
        </w:rPr>
        <w:t>注：</w:t>
      </w:r>
      <w:r>
        <w:rPr>
          <w:rFonts w:hint="eastAsia" w:ascii="仿宋" w:hAnsi="仿宋" w:eastAsia="仿宋" w:cs="仿宋"/>
          <w:sz w:val="24"/>
          <w:szCs w:val="24"/>
        </w:rPr>
        <w:t>1、投标人为法人企业的，其负责人为其法定代表人；投标人为其他组织的，其负责人为法律、行政法规规定代表单位行使职权的主要负责人；投标人为自然人的，其负责人为自然人本人。</w:t>
      </w:r>
    </w:p>
    <w:p>
      <w:pPr>
        <w:pStyle w:val="47"/>
        <w:snapToGrid w:val="0"/>
        <w:spacing w:line="360" w:lineRule="auto"/>
        <w:ind w:firstLine="900" w:firstLineChars="375"/>
        <w:textAlignment w:val="baseline"/>
        <w:rPr>
          <w:rFonts w:ascii="仿宋" w:hAnsi="仿宋" w:eastAsia="仿宋" w:cs="仿宋"/>
          <w:sz w:val="24"/>
          <w:szCs w:val="24"/>
        </w:rPr>
      </w:pPr>
      <w:r>
        <w:rPr>
          <w:rFonts w:hint="eastAsia" w:ascii="仿宋" w:hAnsi="仿宋" w:eastAsia="仿宋" w:cs="仿宋"/>
          <w:sz w:val="24"/>
          <w:szCs w:val="24"/>
        </w:rPr>
        <w:t>2、委托人为上述条款中的负责人。</w:t>
      </w:r>
    </w:p>
    <w:p>
      <w:pPr>
        <w:pStyle w:val="47"/>
        <w:snapToGrid w:val="0"/>
        <w:spacing w:line="360" w:lineRule="auto"/>
        <w:ind w:firstLine="900" w:firstLineChars="375"/>
        <w:textAlignment w:val="baseline"/>
        <w:rPr>
          <w:rFonts w:ascii="仿宋" w:hAnsi="仿宋" w:eastAsia="仿宋" w:cs="仿宋"/>
          <w:sz w:val="24"/>
          <w:szCs w:val="24"/>
        </w:rPr>
      </w:pPr>
      <w:r>
        <w:rPr>
          <w:rFonts w:hint="eastAsia" w:ascii="仿宋" w:hAnsi="仿宋" w:eastAsia="仿宋" w:cs="仿宋"/>
          <w:sz w:val="24"/>
          <w:szCs w:val="24"/>
        </w:rPr>
        <w:t>▲3、本“授权委托书”需附负责人、被委托人身份证件扫描件（或复印件），如扫描件（或复印件）不清晰或错误的，后果由投标人承担。</w:t>
      </w:r>
    </w:p>
    <w:p>
      <w:pPr>
        <w:pStyle w:val="48"/>
        <w:snapToGrid w:val="0"/>
        <w:spacing w:line="440" w:lineRule="exact"/>
        <w:textAlignment w:val="baseline"/>
        <w:rPr>
          <w:rFonts w:ascii="仿宋" w:hAnsi="仿宋" w:eastAsia="仿宋" w:cs="仿宋"/>
          <w:sz w:val="24"/>
          <w:szCs w:val="24"/>
        </w:rPr>
      </w:pPr>
      <w:r>
        <w:rPr>
          <w:rFonts w:hint="eastAsia" w:ascii="仿宋" w:hAnsi="仿宋" w:eastAsia="仿宋" w:cs="仿宋"/>
        </w:rPr>
        <w:br w:type="page"/>
      </w:r>
    </w:p>
    <w:p>
      <w:pPr>
        <w:snapToGrid w:val="0"/>
        <w:spacing w:line="440" w:lineRule="exact"/>
        <w:textAlignment w:val="baseline"/>
        <w:rPr>
          <w:rFonts w:ascii="仿宋" w:hAnsi="仿宋" w:eastAsia="仿宋" w:cs="仿宋"/>
          <w:sz w:val="24"/>
        </w:rPr>
      </w:pPr>
      <w:r>
        <w:rPr>
          <w:rFonts w:hint="eastAsia" w:ascii="仿宋" w:hAnsi="仿宋" w:eastAsia="仿宋" w:cs="仿宋"/>
          <w:sz w:val="24"/>
          <w:szCs w:val="24"/>
        </w:rPr>
        <w:t>负责人身份证件扫描件：</w:t>
      </w:r>
    </w:p>
    <w:tbl>
      <w:tblPr>
        <w:tblStyle w:val="2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48"/>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正面：                             反面：</w:t>
            </w:r>
          </w:p>
          <w:p>
            <w:pPr>
              <w:pStyle w:val="48"/>
              <w:snapToGrid w:val="0"/>
              <w:spacing w:line="440" w:lineRule="exact"/>
              <w:textAlignment w:val="baseline"/>
              <w:rPr>
                <w:rFonts w:ascii="仿宋" w:hAnsi="仿宋" w:eastAsia="仿宋" w:cs="仿宋"/>
                <w:sz w:val="24"/>
                <w:szCs w:val="24"/>
              </w:rPr>
            </w:pPr>
          </w:p>
        </w:tc>
      </w:tr>
    </w:tbl>
    <w:p>
      <w:pPr>
        <w:pStyle w:val="48"/>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被委托人身份证件扫描件：</w:t>
      </w:r>
    </w:p>
    <w:tbl>
      <w:tblPr>
        <w:tblStyle w:val="2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48"/>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正面：                             反面：</w:t>
            </w:r>
          </w:p>
          <w:p>
            <w:pPr>
              <w:pStyle w:val="48"/>
              <w:snapToGrid w:val="0"/>
              <w:spacing w:line="440" w:lineRule="exact"/>
              <w:textAlignment w:val="baseline"/>
              <w:rPr>
                <w:rFonts w:ascii="仿宋" w:hAnsi="仿宋" w:eastAsia="仿宋" w:cs="仿宋"/>
                <w:sz w:val="24"/>
                <w:szCs w:val="24"/>
              </w:rPr>
            </w:pPr>
          </w:p>
        </w:tc>
      </w:tr>
    </w:tbl>
    <w:p>
      <w:pPr>
        <w:pStyle w:val="48"/>
        <w:snapToGrid w:val="0"/>
        <w:spacing w:line="360" w:lineRule="auto"/>
        <w:ind w:firstLine="4480" w:firstLineChars="1600"/>
        <w:textAlignment w:val="baseline"/>
        <w:rPr>
          <w:rFonts w:ascii="仿宋" w:hAnsi="仿宋" w:eastAsia="仿宋" w:cs="仿宋"/>
          <w:spacing w:val="20"/>
          <w:sz w:val="24"/>
          <w:szCs w:val="24"/>
        </w:rPr>
      </w:pPr>
    </w:p>
    <w:p>
      <w:pPr>
        <w:pStyle w:val="48"/>
        <w:snapToGrid w:val="0"/>
        <w:spacing w:line="360" w:lineRule="auto"/>
        <w:ind w:firstLine="4480" w:firstLineChars="1600"/>
        <w:textAlignment w:val="baseline"/>
        <w:rPr>
          <w:rFonts w:ascii="仿宋" w:hAnsi="仿宋" w:eastAsia="仿宋" w:cs="仿宋"/>
          <w:spacing w:val="20"/>
          <w:sz w:val="24"/>
          <w:szCs w:val="24"/>
        </w:rPr>
      </w:pPr>
      <w:r>
        <w:rPr>
          <w:rFonts w:hint="eastAsia" w:ascii="仿宋" w:hAnsi="仿宋" w:eastAsia="仿宋" w:cs="仿宋"/>
          <w:spacing w:val="20"/>
          <w:sz w:val="24"/>
          <w:szCs w:val="24"/>
        </w:rPr>
        <w:t>负责人签字或盖章：</w:t>
      </w:r>
    </w:p>
    <w:p>
      <w:pPr>
        <w:pStyle w:val="48"/>
        <w:snapToGrid w:val="0"/>
        <w:spacing w:line="360" w:lineRule="auto"/>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47"/>
        <w:snapToGrid w:val="0"/>
        <w:spacing w:line="360" w:lineRule="auto"/>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日期：</w:t>
      </w:r>
    </w:p>
    <w:p>
      <w:pPr>
        <w:pStyle w:val="4"/>
        <w:snapToGrid w:val="0"/>
        <w:spacing w:before="240" w:after="240"/>
        <w:ind w:firstLine="0" w:firstLineChars="0"/>
        <w:jc w:val="center"/>
        <w:textAlignment w:val="baseline"/>
        <w:rPr>
          <w:rFonts w:ascii="仿宋" w:hAnsi="仿宋" w:eastAsia="仿宋" w:cs="仿宋"/>
        </w:rPr>
        <w:sectPr>
          <w:pgSz w:w="11906" w:h="16838"/>
          <w:pgMar w:top="1440" w:right="1758" w:bottom="1440" w:left="1758" w:header="851" w:footer="851" w:gutter="0"/>
          <w:cols w:space="720" w:num="1"/>
          <w:docGrid w:linePitch="312" w:charSpace="0"/>
        </w:sectPr>
      </w:pPr>
    </w:p>
    <w:p>
      <w:pPr>
        <w:pStyle w:val="108"/>
        <w:spacing w:line="360" w:lineRule="auto"/>
        <w:jc w:val="center"/>
        <w:rPr>
          <w:rFonts w:ascii="仿宋" w:hAnsi="仿宋" w:eastAsia="仿宋" w:cs="仿宋"/>
          <w:b/>
          <w:szCs w:val="21"/>
        </w:rPr>
      </w:pPr>
      <w:bookmarkStart w:id="350" w:name="_Toc493956056"/>
      <w:r>
        <w:rPr>
          <w:rFonts w:hint="eastAsia" w:ascii="仿宋" w:hAnsi="仿宋" w:eastAsia="仿宋" w:cs="仿宋"/>
          <w:b/>
          <w:sz w:val="30"/>
          <w:szCs w:val="30"/>
        </w:rPr>
        <w:t>▲3、政府采购资格承诺函</w:t>
      </w:r>
    </w:p>
    <w:p>
      <w:pPr>
        <w:spacing w:line="400" w:lineRule="exact"/>
        <w:rPr>
          <w:rFonts w:ascii="仿宋" w:hAnsi="仿宋" w:eastAsia="仿宋" w:cs="仿宋"/>
          <w:sz w:val="24"/>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我单位——</w:t>
      </w:r>
      <w:r>
        <w:rPr>
          <w:rFonts w:hint="eastAsia" w:ascii="仿宋" w:hAnsi="仿宋" w:eastAsia="仿宋" w:cs="仿宋"/>
          <w:sz w:val="24"/>
          <w:u w:val="single"/>
        </w:rPr>
        <w:t xml:space="preserve">                  （供应商全称）</w:t>
      </w:r>
      <w:r>
        <w:rPr>
          <w:rFonts w:hint="eastAsia" w:ascii="仿宋" w:hAnsi="仿宋" w:eastAsia="仿宋" w:cs="仿宋"/>
          <w:bCs/>
          <w:sz w:val="24"/>
          <w:lang w:bidi="ar"/>
        </w:rPr>
        <w:t>参与</w:t>
      </w:r>
      <w:r>
        <w:rPr>
          <w:rFonts w:hint="eastAsia" w:ascii="仿宋" w:hAnsi="仿宋" w:eastAsia="仿宋" w:cs="仿宋"/>
          <w:bCs/>
          <w:sz w:val="24"/>
          <w:u w:val="single"/>
          <w:lang w:bidi="ar"/>
        </w:rPr>
        <w:t xml:space="preserve"> </w:t>
      </w:r>
      <w:r>
        <w:rPr>
          <w:rFonts w:hint="eastAsia" w:ascii="仿宋" w:hAnsi="仿宋" w:eastAsia="仿宋" w:cs="仿宋"/>
          <w:sz w:val="24"/>
          <w:u w:val="single"/>
        </w:rPr>
        <w:t xml:space="preserve">                    </w:t>
      </w:r>
      <w:r>
        <w:rPr>
          <w:rFonts w:hint="eastAsia" w:ascii="仿宋" w:hAnsi="仿宋" w:eastAsia="仿宋" w:cs="仿宋"/>
          <w:sz w:val="24"/>
        </w:rPr>
        <w:t>项目</w:t>
      </w:r>
      <w:r>
        <w:rPr>
          <w:rFonts w:hint="eastAsia" w:ascii="仿宋" w:hAnsi="仿宋" w:eastAsia="仿宋" w:cs="仿宋"/>
          <w:bCs/>
          <w:sz w:val="24"/>
          <w:lang w:bidi="ar"/>
        </w:rPr>
        <w:t>（项目编号：</w:t>
      </w:r>
      <w:r>
        <w:rPr>
          <w:rFonts w:hint="eastAsia" w:ascii="仿宋" w:hAnsi="仿宋" w:eastAsia="仿宋" w:cs="仿宋"/>
          <w:bCs/>
          <w:sz w:val="24"/>
          <w:u w:val="single"/>
          <w:lang w:bidi="ar"/>
        </w:rPr>
        <w:t xml:space="preserve"> </w:t>
      </w:r>
      <w:r>
        <w:rPr>
          <w:rFonts w:hint="eastAsia" w:ascii="仿宋" w:hAnsi="仿宋" w:eastAsia="仿宋" w:cs="仿宋"/>
          <w:bCs/>
          <w:sz w:val="24"/>
          <w:u w:val="single"/>
        </w:rPr>
        <w:t xml:space="preserve">           </w:t>
      </w:r>
      <w:r>
        <w:rPr>
          <w:rFonts w:hint="eastAsia" w:ascii="仿宋" w:hAnsi="仿宋" w:eastAsia="仿宋" w:cs="仿宋"/>
          <w:bCs/>
          <w:sz w:val="24"/>
          <w:u w:val="single"/>
          <w:lang w:bidi="ar"/>
        </w:rPr>
        <w:t xml:space="preserve"> </w:t>
      </w:r>
      <w:r>
        <w:rPr>
          <w:rFonts w:hint="eastAsia" w:ascii="仿宋" w:hAnsi="仿宋" w:eastAsia="仿宋" w:cs="仿宋"/>
          <w:bCs/>
          <w:sz w:val="24"/>
          <w:lang w:bidi="ar"/>
        </w:rPr>
        <w:t>）投标活动，郑重</w:t>
      </w:r>
      <w:r>
        <w:rPr>
          <w:rFonts w:hint="eastAsia" w:ascii="仿宋" w:hAnsi="仿宋" w:eastAsia="仿宋" w:cs="仿宋"/>
          <w:sz w:val="24"/>
        </w:rPr>
        <w:t>承诺具备下列条件：</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1.具有独立承担民事责任的能力；</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2.具有良好的商业信誉和健全的财务会计制度；</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 xml:space="preserve">3.具有履行合同所必需的设备和专业技术能力； </w:t>
      </w:r>
    </w:p>
    <w:p>
      <w:pPr>
        <w:snapToGrid w:val="0"/>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4.有依法缴纳税收和社会保障资金的良好记</w:t>
      </w:r>
      <w:r>
        <w:rPr>
          <w:rFonts w:hint="eastAsia" w:ascii="仿宋" w:hAnsi="仿宋" w:eastAsia="仿宋" w:cs="仿宋"/>
          <w:sz w:val="24"/>
        </w:rPr>
        <w:t xml:space="preserve">录； </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5.参加</w:t>
      </w:r>
      <w:r>
        <w:rPr>
          <w:rFonts w:hint="eastAsia" w:ascii="仿宋" w:hAnsi="仿宋" w:eastAsia="仿宋" w:cs="仿宋"/>
          <w:bCs/>
          <w:sz w:val="24"/>
        </w:rPr>
        <w:t>本项目采购活动前三</w:t>
      </w:r>
      <w:r>
        <w:rPr>
          <w:rFonts w:hint="eastAsia" w:ascii="仿宋" w:hAnsi="仿宋" w:eastAsia="仿宋" w:cs="仿宋"/>
          <w:sz w:val="24"/>
        </w:rPr>
        <w:t>年内,在经营活动中没有重大违法记录（包括行贿犯罪记录）。</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 投标截止时间前未被“信用中国”网站（www.creditchina.gov.cn）、中国政府采购网（www.ccgp.gov.cn）列入失信被执行人、重大税收违法当事人名单、政府采购严重违法失信行为记录名单</w:t>
      </w:r>
      <w:r>
        <w:rPr>
          <w:rFonts w:hint="eastAsia" w:ascii="仿宋" w:hAnsi="仿宋" w:eastAsia="仿宋" w:cs="仿宋"/>
          <w:b/>
          <w:sz w:val="24"/>
        </w:rPr>
        <w:t>（注：本项内容以代理机构在资格审查现场查询为准）。</w:t>
      </w:r>
    </w:p>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如有虚假，采购人可取消我单位任何资格（投标/中标（成交）/签订合同），我单位对此无任何异议。</w:t>
      </w:r>
    </w:p>
    <w:p>
      <w:pPr>
        <w:snapToGrid w:val="0"/>
        <w:spacing w:line="360" w:lineRule="auto"/>
        <w:ind w:firstLine="482" w:firstLineChars="200"/>
        <w:jc w:val="left"/>
        <w:rPr>
          <w:rFonts w:ascii="仿宋" w:hAnsi="仿宋" w:eastAsia="仿宋" w:cs="仿宋"/>
          <w:b/>
          <w:sz w:val="24"/>
        </w:rPr>
      </w:pPr>
    </w:p>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特此承诺！</w:t>
      </w:r>
    </w:p>
    <w:p>
      <w:pPr>
        <w:tabs>
          <w:tab w:val="left" w:pos="9180"/>
        </w:tabs>
        <w:spacing w:line="360" w:lineRule="auto"/>
        <w:jc w:val="left"/>
        <w:rPr>
          <w:rFonts w:ascii="仿宋" w:hAnsi="仿宋" w:eastAsia="仿宋" w:cs="仿宋"/>
          <w:snapToGrid w:val="0"/>
          <w:sz w:val="24"/>
        </w:rPr>
      </w:pPr>
    </w:p>
    <w:p>
      <w:pPr>
        <w:tabs>
          <w:tab w:val="left" w:pos="9180"/>
        </w:tabs>
        <w:spacing w:line="360" w:lineRule="auto"/>
        <w:jc w:val="left"/>
        <w:rPr>
          <w:rFonts w:ascii="仿宋" w:hAnsi="仿宋" w:eastAsia="仿宋" w:cs="仿宋"/>
          <w:snapToGrid w:val="0"/>
          <w:sz w:val="24"/>
        </w:rPr>
      </w:pPr>
      <w:r>
        <w:rPr>
          <w:rFonts w:hint="eastAsia" w:ascii="仿宋" w:hAnsi="仿宋" w:eastAsia="仿宋" w:cs="仿宋"/>
          <w:snapToGrid w:val="0"/>
          <w:sz w:val="24"/>
        </w:rPr>
        <w:t>注：（1）参加政府采购活动的时间是指供应商参加本项目的政府采购活动时间（具体以投标截止时间为准）。</w:t>
      </w:r>
    </w:p>
    <w:p>
      <w:pPr>
        <w:tabs>
          <w:tab w:val="left" w:pos="9180"/>
        </w:tabs>
        <w:spacing w:line="360" w:lineRule="auto"/>
        <w:ind w:firstLine="480" w:firstLineChars="200"/>
        <w:jc w:val="left"/>
        <w:rPr>
          <w:rFonts w:ascii="仿宋" w:hAnsi="仿宋" w:eastAsia="仿宋" w:cs="仿宋"/>
          <w:snapToGrid w:val="0"/>
          <w:sz w:val="24"/>
        </w:rPr>
      </w:pPr>
      <w:r>
        <w:rPr>
          <w:rFonts w:hint="eastAsia" w:ascii="仿宋" w:hAnsi="仿宋" w:eastAsia="仿宋" w:cs="仿宋"/>
          <w:snapToGrid w:val="0"/>
          <w:sz w:val="24"/>
        </w:rPr>
        <w:t>（2）本承诺函必须提供。</w:t>
      </w:r>
    </w:p>
    <w:p>
      <w:pPr>
        <w:rPr>
          <w:rFonts w:ascii="仿宋" w:hAnsi="仿宋" w:eastAsia="仿宋" w:cs="仿宋"/>
          <w:sz w:val="32"/>
          <w:szCs w:val="32"/>
        </w:rPr>
      </w:pPr>
      <w:r>
        <w:rPr>
          <w:rFonts w:hint="eastAsia" w:ascii="仿宋" w:hAnsi="仿宋" w:eastAsia="仿宋" w:cs="仿宋"/>
          <w:sz w:val="32"/>
          <w:szCs w:val="32"/>
        </w:rPr>
        <w:br w:type="page"/>
      </w:r>
    </w:p>
    <w:p>
      <w:pPr>
        <w:pStyle w:val="4"/>
        <w:snapToGrid w:val="0"/>
        <w:spacing w:before="240" w:after="240"/>
        <w:ind w:firstLine="0" w:firstLineChars="0"/>
        <w:jc w:val="center"/>
        <w:textAlignment w:val="baseline"/>
        <w:rPr>
          <w:rFonts w:ascii="仿宋" w:hAnsi="仿宋" w:eastAsia="仿宋" w:cs="仿宋"/>
          <w:sz w:val="32"/>
          <w:szCs w:val="32"/>
        </w:rPr>
      </w:pPr>
      <w:bookmarkStart w:id="351" w:name="_Toc28012"/>
      <w:bookmarkStart w:id="352" w:name="_Toc1927"/>
      <w:bookmarkStart w:id="353" w:name="_Toc25009"/>
      <w:bookmarkStart w:id="354" w:name="_Toc26923"/>
      <w:bookmarkStart w:id="355" w:name="_Toc3442"/>
      <w:bookmarkStart w:id="356" w:name="_Toc11783"/>
      <w:bookmarkStart w:id="357" w:name="_Toc11813"/>
      <w:bookmarkStart w:id="358" w:name="_Toc12788"/>
      <w:r>
        <w:rPr>
          <w:rFonts w:hint="eastAsia" w:ascii="仿宋" w:hAnsi="仿宋" w:eastAsia="仿宋" w:cs="仿宋"/>
          <w:sz w:val="32"/>
          <w:szCs w:val="32"/>
        </w:rPr>
        <w:t>4、资格证明</w:t>
      </w:r>
      <w:bookmarkEnd w:id="351"/>
      <w:bookmarkEnd w:id="352"/>
      <w:bookmarkEnd w:id="353"/>
      <w:bookmarkEnd w:id="354"/>
      <w:bookmarkEnd w:id="355"/>
      <w:bookmarkEnd w:id="356"/>
      <w:bookmarkEnd w:id="357"/>
      <w:bookmarkEnd w:id="358"/>
    </w:p>
    <w:p>
      <w:pPr>
        <w:pStyle w:val="51"/>
        <w:tabs>
          <w:tab w:val="left" w:pos="0"/>
        </w:tabs>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（采购代理机构）：</w:t>
      </w:r>
    </w:p>
    <w:p>
      <w:pPr>
        <w:pStyle w:val="51"/>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u w:val="single" w:color="000000"/>
        </w:rPr>
        <w:t xml:space="preserve">    (投标人全称)  </w:t>
      </w:r>
      <w:r>
        <w:rPr>
          <w:rFonts w:hint="eastAsia" w:ascii="仿宋" w:hAnsi="仿宋" w:eastAsia="仿宋" w:cs="仿宋"/>
          <w:sz w:val="24"/>
          <w:szCs w:val="24"/>
        </w:rPr>
        <w:t>系中华人民共和国合法企业，经营地址</w:t>
      </w:r>
      <w:r>
        <w:rPr>
          <w:rFonts w:hint="eastAsia" w:ascii="仿宋" w:hAnsi="仿宋" w:eastAsia="仿宋" w:cs="仿宋"/>
          <w:sz w:val="24"/>
          <w:szCs w:val="24"/>
          <w:u w:val="single" w:color="000000"/>
        </w:rPr>
        <w:t xml:space="preserve">        </w:t>
      </w:r>
      <w:r>
        <w:rPr>
          <w:rFonts w:hint="eastAsia" w:ascii="仿宋" w:hAnsi="仿宋" w:eastAsia="仿宋" w:cs="仿宋"/>
          <w:sz w:val="24"/>
          <w:szCs w:val="24"/>
        </w:rPr>
        <w:t>。</w:t>
      </w:r>
    </w:p>
    <w:p>
      <w:pPr>
        <w:pStyle w:val="5"/>
        <w:snapToGrid w:val="0"/>
        <w:spacing w:line="360" w:lineRule="auto"/>
        <w:textAlignment w:val="baseline"/>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color="000000"/>
        </w:rPr>
        <w:t>(法定代表人或负责人名字)</w:t>
      </w:r>
      <w:r>
        <w:rPr>
          <w:rFonts w:hint="eastAsia" w:ascii="仿宋" w:hAnsi="仿宋" w:eastAsia="仿宋" w:cs="仿宋"/>
          <w:sz w:val="24"/>
          <w:szCs w:val="24"/>
        </w:rPr>
        <w:t>系</w:t>
      </w:r>
      <w:r>
        <w:rPr>
          <w:rFonts w:hint="eastAsia" w:ascii="仿宋" w:hAnsi="仿宋" w:eastAsia="仿宋" w:cs="仿宋"/>
          <w:sz w:val="24"/>
          <w:szCs w:val="24"/>
          <w:u w:val="single" w:color="000000"/>
        </w:rPr>
        <w:t xml:space="preserve">    (投标人名称)       </w:t>
      </w:r>
      <w:r>
        <w:rPr>
          <w:rFonts w:hint="eastAsia" w:ascii="仿宋" w:hAnsi="仿宋" w:eastAsia="仿宋" w:cs="仿宋"/>
          <w:sz w:val="24"/>
          <w:szCs w:val="24"/>
        </w:rPr>
        <w:t>为负责人，我方愿意参加贵方组织的</w:t>
      </w:r>
      <w:r>
        <w:rPr>
          <w:rFonts w:hint="eastAsia" w:ascii="仿宋" w:hAnsi="仿宋" w:eastAsia="仿宋" w:cs="仿宋"/>
          <w:sz w:val="24"/>
          <w:szCs w:val="24"/>
          <w:u w:val="single" w:color="000000"/>
        </w:rPr>
        <w:t>（项目名称）（采购编号：）</w:t>
      </w:r>
      <w:r>
        <w:rPr>
          <w:rFonts w:hint="eastAsia" w:ascii="仿宋" w:hAnsi="仿宋" w:eastAsia="仿宋" w:cs="仿宋"/>
          <w:sz w:val="24"/>
          <w:szCs w:val="24"/>
        </w:rPr>
        <w:t>的投标。为便于贵方公正、择优地确定中标人以及投标产品和服务，我方就本次投标有关事项证明如下：</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（一）名称及概况：</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1．企业名称：</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420"/>
        <w:textAlignment w:val="baseline"/>
        <w:rPr>
          <w:rFonts w:ascii="仿宋" w:hAnsi="仿宋" w:eastAsia="仿宋" w:cs="仿宋"/>
          <w:b/>
          <w:bCs/>
          <w:sz w:val="24"/>
          <w:szCs w:val="24"/>
        </w:rPr>
      </w:pPr>
      <w:r>
        <w:rPr>
          <w:rFonts w:hint="eastAsia" w:ascii="仿宋" w:hAnsi="仿宋" w:eastAsia="仿宋" w:cs="仿宋"/>
          <w:sz w:val="24"/>
          <w:szCs w:val="24"/>
        </w:rPr>
        <w:t>银行开户名称：</w:t>
      </w:r>
      <w:r>
        <w:rPr>
          <w:rFonts w:hint="eastAsia" w:ascii="仿宋" w:hAnsi="仿宋" w:eastAsia="仿宋" w:cs="仿宋"/>
          <w:sz w:val="24"/>
          <w:szCs w:val="24"/>
          <w:u w:val="single" w:color="000000"/>
        </w:rPr>
        <w:t>________________________________________________</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color="000000"/>
        </w:rPr>
        <w:t xml:space="preserve">_________________________________________________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账号：</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企业详细地址：</w:t>
      </w:r>
      <w:r>
        <w:rPr>
          <w:rFonts w:hint="eastAsia" w:ascii="仿宋" w:hAnsi="仿宋" w:eastAsia="仿宋" w:cs="仿宋"/>
          <w:sz w:val="24"/>
          <w:szCs w:val="24"/>
          <w:u w:val="single" w:color="000000"/>
        </w:rPr>
        <w:t>________________________________________________</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传真：</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2．负责人姓名：</w:t>
      </w:r>
      <w:r>
        <w:rPr>
          <w:rFonts w:hint="eastAsia" w:ascii="仿宋" w:hAnsi="仿宋" w:eastAsia="仿宋" w:cs="仿宋"/>
          <w:sz w:val="24"/>
          <w:szCs w:val="24"/>
          <w:u w:val="single" w:color="000000"/>
        </w:rPr>
        <w:t xml:space="preserve">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3．项目联系人：姓名</w:t>
      </w:r>
      <w:r>
        <w:rPr>
          <w:rFonts w:hint="eastAsia" w:ascii="仿宋" w:hAnsi="仿宋" w:eastAsia="仿宋" w:cs="仿宋"/>
          <w:sz w:val="24"/>
          <w:szCs w:val="24"/>
          <w:u w:val="single" w:color="000000"/>
        </w:rPr>
        <w:t>__________</w:t>
      </w:r>
      <w:r>
        <w:rPr>
          <w:rFonts w:hint="eastAsia" w:ascii="仿宋" w:hAnsi="仿宋" w:eastAsia="仿宋" w:cs="仿宋"/>
          <w:sz w:val="24"/>
          <w:szCs w:val="24"/>
        </w:rPr>
        <w:t>职务：</w:t>
      </w:r>
      <w:r>
        <w:rPr>
          <w:rFonts w:hint="eastAsia" w:ascii="仿宋" w:hAnsi="仿宋" w:eastAsia="仿宋" w:cs="仿宋"/>
          <w:sz w:val="24"/>
          <w:szCs w:val="24"/>
          <w:u w:val="single" w:color="000000"/>
        </w:rPr>
        <w:t>______</w:t>
      </w:r>
      <w:r>
        <w:rPr>
          <w:rFonts w:hint="eastAsia" w:ascii="仿宋" w:hAnsi="仿宋" w:eastAsia="仿宋" w:cs="仿宋"/>
          <w:sz w:val="24"/>
          <w:szCs w:val="24"/>
        </w:rPr>
        <w:t>电话</w:t>
      </w:r>
      <w:r>
        <w:rPr>
          <w:rFonts w:hint="eastAsia" w:ascii="仿宋" w:hAnsi="仿宋" w:eastAsia="仿宋" w:cs="仿宋"/>
          <w:sz w:val="24"/>
          <w:szCs w:val="24"/>
          <w:u w:val="single" w:color="000000"/>
        </w:rPr>
        <w:t>______</w:t>
      </w:r>
      <w:r>
        <w:rPr>
          <w:rFonts w:hint="eastAsia" w:ascii="仿宋" w:hAnsi="仿宋" w:eastAsia="仿宋" w:cs="仿宋"/>
          <w:sz w:val="24"/>
          <w:szCs w:val="24"/>
        </w:rPr>
        <w:t>手机</w:t>
      </w:r>
      <w:r>
        <w:rPr>
          <w:rFonts w:hint="eastAsia" w:ascii="仿宋" w:hAnsi="仿宋" w:eastAsia="仿宋" w:cs="仿宋"/>
          <w:sz w:val="24"/>
          <w:szCs w:val="24"/>
          <w:u w:val="single" w:color="000000"/>
        </w:rPr>
        <w:t xml:space="preserve">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4．注册地址：</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5．注册资金：</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735"/>
        <w:textAlignment w:val="baseline"/>
        <w:rPr>
          <w:rFonts w:ascii="仿宋" w:hAnsi="仿宋" w:eastAsia="仿宋" w:cs="仿宋"/>
          <w:sz w:val="24"/>
          <w:szCs w:val="24"/>
        </w:rPr>
      </w:pPr>
      <w:r>
        <w:rPr>
          <w:rFonts w:hint="eastAsia" w:ascii="仿宋" w:hAnsi="仿宋" w:eastAsia="仿宋" w:cs="仿宋"/>
          <w:sz w:val="24"/>
          <w:szCs w:val="24"/>
        </w:rPr>
        <w:t>自有资金：</w:t>
      </w:r>
      <w:r>
        <w:rPr>
          <w:rFonts w:hint="eastAsia" w:ascii="仿宋" w:hAnsi="仿宋" w:eastAsia="仿宋" w:cs="仿宋"/>
          <w:sz w:val="24"/>
          <w:szCs w:val="24"/>
          <w:u w:val="single" w:color="000000"/>
        </w:rPr>
        <w:t xml:space="preserve">________________________________________________  </w:t>
      </w:r>
    </w:p>
    <w:p>
      <w:pPr>
        <w:pStyle w:val="53"/>
        <w:snapToGrid w:val="0"/>
        <w:spacing w:line="360" w:lineRule="auto"/>
        <w:ind w:firstLine="735"/>
        <w:textAlignment w:val="baseline"/>
        <w:rPr>
          <w:rFonts w:ascii="仿宋" w:hAnsi="仿宋" w:eastAsia="仿宋" w:cs="仿宋"/>
          <w:sz w:val="24"/>
          <w:szCs w:val="24"/>
        </w:rPr>
      </w:pPr>
      <w:r>
        <w:rPr>
          <w:rFonts w:hint="eastAsia" w:ascii="仿宋" w:hAnsi="仿宋" w:eastAsia="仿宋" w:cs="仿宋"/>
          <w:sz w:val="24"/>
          <w:szCs w:val="24"/>
        </w:rPr>
        <w:t>企业人数：</w:t>
      </w:r>
      <w:r>
        <w:rPr>
          <w:rFonts w:hint="eastAsia" w:ascii="仿宋" w:hAnsi="仿宋" w:eastAsia="仿宋" w:cs="仿宋"/>
          <w:sz w:val="24"/>
          <w:szCs w:val="24"/>
          <w:u w:val="single" w:color="000000"/>
        </w:rPr>
        <w:t>______</w:t>
      </w:r>
      <w:r>
        <w:rPr>
          <w:rFonts w:hint="eastAsia" w:ascii="仿宋" w:hAnsi="仿宋" w:eastAsia="仿宋" w:cs="仿宋"/>
          <w:b/>
          <w:bCs/>
          <w:sz w:val="24"/>
          <w:szCs w:val="24"/>
          <w:u w:val="single" w:color="000000"/>
        </w:rPr>
        <w:t>_</w:t>
      </w:r>
      <w:r>
        <w:rPr>
          <w:rFonts w:hint="eastAsia" w:ascii="仿宋" w:hAnsi="仿宋" w:eastAsia="仿宋" w:cs="仿宋"/>
          <w:sz w:val="24"/>
          <w:szCs w:val="24"/>
        </w:rPr>
        <w:t>人</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6．企业性质：</w:t>
      </w:r>
      <w:r>
        <w:rPr>
          <w:rFonts w:hint="eastAsia" w:ascii="仿宋" w:hAnsi="仿宋" w:eastAsia="仿宋" w:cs="仿宋"/>
          <w:sz w:val="24"/>
          <w:szCs w:val="24"/>
          <w:u w:val="single" w:color="000000"/>
        </w:rPr>
        <w:t>____________</w:t>
      </w:r>
      <w:r>
        <w:rPr>
          <w:rFonts w:hint="eastAsia" w:ascii="仿宋" w:hAnsi="仿宋" w:eastAsia="仿宋" w:cs="仿宋"/>
          <w:sz w:val="24"/>
          <w:szCs w:val="24"/>
        </w:rPr>
        <w:t>股份有限公司</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7．主要经营地点：</w:t>
      </w:r>
      <w:r>
        <w:rPr>
          <w:rFonts w:hint="eastAsia" w:ascii="仿宋" w:hAnsi="仿宋" w:eastAsia="仿宋" w:cs="仿宋"/>
          <w:sz w:val="24"/>
          <w:szCs w:val="24"/>
          <w:u w:val="single" w:color="000000"/>
        </w:rPr>
        <w:t>________________________________________________</w:t>
      </w:r>
    </w:p>
    <w:p>
      <w:pPr>
        <w:pStyle w:val="53"/>
        <w:snapToGrid w:val="0"/>
        <w:spacing w:line="360" w:lineRule="auto"/>
        <w:ind w:firstLine="420"/>
        <w:textAlignment w:val="baseline"/>
        <w:rPr>
          <w:rFonts w:ascii="仿宋" w:hAnsi="仿宋" w:eastAsia="仿宋" w:cs="仿宋"/>
          <w:sz w:val="24"/>
          <w:szCs w:val="24"/>
        </w:rPr>
      </w:pPr>
      <w:r>
        <w:rPr>
          <w:rFonts w:hint="eastAsia" w:ascii="仿宋" w:hAnsi="仿宋" w:eastAsia="仿宋" w:cs="仿宋"/>
          <w:sz w:val="24"/>
          <w:szCs w:val="24"/>
        </w:rPr>
        <w:t>如有派出机构，请列出名称及详细通讯地址如下：</w:t>
      </w:r>
    </w:p>
    <w:p>
      <w:pPr>
        <w:pStyle w:val="53"/>
        <w:snapToGrid w:val="0"/>
        <w:spacing w:line="360" w:lineRule="auto"/>
        <w:ind w:firstLine="420"/>
        <w:textAlignment w:val="baseline"/>
        <w:rPr>
          <w:rFonts w:ascii="仿宋" w:hAnsi="仿宋" w:eastAsia="仿宋" w:cs="仿宋"/>
          <w:sz w:val="24"/>
          <w:szCs w:val="24"/>
          <w:u w:val="single"/>
        </w:rPr>
      </w:pPr>
      <w:r>
        <w:rPr>
          <w:rFonts w:hint="eastAsia" w:ascii="仿宋" w:hAnsi="仿宋" w:eastAsia="仿宋" w:cs="仿宋"/>
          <w:sz w:val="24"/>
          <w:szCs w:val="24"/>
          <w:u w:val="single" w:color="000000"/>
        </w:rPr>
        <w:t>_________________________________________________________________</w:t>
      </w:r>
    </w:p>
    <w:p>
      <w:pPr>
        <w:snapToGrid w:val="0"/>
        <w:spacing w:line="360" w:lineRule="auto"/>
        <w:ind w:firstLine="424" w:firstLineChars="177"/>
        <w:jc w:val="left"/>
        <w:textAlignment w:val="baseline"/>
        <w:rPr>
          <w:rFonts w:ascii="仿宋" w:hAnsi="仿宋" w:eastAsia="仿宋" w:cs="仿宋"/>
          <w:sz w:val="20"/>
          <w:u w:val="single"/>
        </w:rPr>
      </w:pPr>
      <w:r>
        <w:rPr>
          <w:rFonts w:hint="eastAsia" w:ascii="仿宋" w:hAnsi="仿宋" w:eastAsia="仿宋" w:cs="仿宋"/>
          <w:sz w:val="24"/>
          <w:szCs w:val="24"/>
          <w:u w:val="single" w:color="000000"/>
        </w:rPr>
        <w:t>_________________________________________________________________</w:t>
      </w:r>
    </w:p>
    <w:p>
      <w:pPr>
        <w:pStyle w:val="53"/>
        <w:snapToGrid w:val="0"/>
        <w:spacing w:line="360" w:lineRule="auto"/>
        <w:ind w:firstLine="465"/>
        <w:textAlignment w:val="baseline"/>
        <w:rPr>
          <w:rFonts w:ascii="仿宋" w:hAnsi="仿宋" w:eastAsia="仿宋" w:cs="仿宋"/>
          <w:sz w:val="24"/>
          <w:szCs w:val="24"/>
        </w:rPr>
      </w:pPr>
      <w:r>
        <w:rPr>
          <w:rFonts w:hint="eastAsia" w:ascii="仿宋" w:hAnsi="仿宋" w:eastAsia="仿宋" w:cs="仿宋"/>
          <w:sz w:val="24"/>
          <w:szCs w:val="24"/>
        </w:rPr>
        <w:t>8.必需的设备：</w:t>
      </w:r>
      <w:r>
        <w:rPr>
          <w:rFonts w:hint="eastAsia" w:ascii="仿宋" w:hAnsi="仿宋" w:eastAsia="仿宋" w:cs="仿宋"/>
          <w:sz w:val="24"/>
          <w:szCs w:val="24"/>
          <w:u w:val="single" w:color="000000"/>
        </w:rPr>
        <w:t>_______________________________________________</w:t>
      </w:r>
    </w:p>
    <w:p>
      <w:pPr>
        <w:pStyle w:val="53"/>
        <w:snapToGrid w:val="0"/>
        <w:spacing w:line="360" w:lineRule="auto"/>
        <w:ind w:firstLine="465"/>
        <w:jc w:val="left"/>
        <w:textAlignment w:val="baseline"/>
        <w:rPr>
          <w:rFonts w:ascii="仿宋" w:hAnsi="仿宋" w:eastAsia="仿宋" w:cs="仿宋"/>
          <w:sz w:val="24"/>
          <w:szCs w:val="24"/>
        </w:rPr>
      </w:pPr>
      <w:r>
        <w:rPr>
          <w:rFonts w:hint="eastAsia" w:ascii="仿宋" w:hAnsi="仿宋" w:eastAsia="仿宋" w:cs="仿宋"/>
          <w:sz w:val="24"/>
          <w:szCs w:val="24"/>
        </w:rPr>
        <w:t>9.专业技术能力的证明材料：</w:t>
      </w:r>
      <w:r>
        <w:rPr>
          <w:rFonts w:hint="eastAsia" w:ascii="仿宋" w:hAnsi="仿宋" w:eastAsia="仿宋" w:cs="仿宋"/>
          <w:sz w:val="24"/>
          <w:szCs w:val="24"/>
          <w:u w:val="single" w:color="000000"/>
        </w:rPr>
        <w:t>__________________________</w:t>
      </w:r>
    </w:p>
    <w:p>
      <w:pPr>
        <w:pStyle w:val="53"/>
        <w:snapToGrid w:val="0"/>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rPr>
        <w:t>兹证明上述声明是真实、正确的，并提供了全部能提供的资料和数据，我们同意遵照贵方要求出示有关证明文件。</w:t>
      </w:r>
    </w:p>
    <w:p>
      <w:pPr>
        <w:pStyle w:val="53"/>
        <w:snapToGrid w:val="0"/>
        <w:spacing w:line="360" w:lineRule="auto"/>
        <w:textAlignment w:val="baseline"/>
        <w:rPr>
          <w:rFonts w:ascii="仿宋" w:hAnsi="仿宋" w:eastAsia="仿宋" w:cs="仿宋"/>
          <w:sz w:val="24"/>
          <w:szCs w:val="24"/>
        </w:rPr>
      </w:pPr>
    </w:p>
    <w:p>
      <w:pPr>
        <w:pStyle w:val="53"/>
        <w:snapToGrid w:val="0"/>
        <w:spacing w:line="360" w:lineRule="auto"/>
        <w:textAlignment w:val="baseline"/>
        <w:rPr>
          <w:rFonts w:ascii="仿宋" w:hAnsi="仿宋" w:eastAsia="仿宋" w:cs="仿宋"/>
          <w:sz w:val="24"/>
          <w:szCs w:val="24"/>
        </w:rPr>
      </w:pPr>
    </w:p>
    <w:p>
      <w:pPr>
        <w:pStyle w:val="53"/>
        <w:snapToGrid w:val="0"/>
        <w:spacing w:line="440" w:lineRule="exact"/>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53"/>
        <w:snapToGrid w:val="0"/>
        <w:spacing w:line="440" w:lineRule="exact"/>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日期：</w:t>
      </w:r>
    </w:p>
    <w:p>
      <w:pPr>
        <w:pStyle w:val="5"/>
        <w:snapToGrid w:val="0"/>
        <w:spacing w:line="360" w:lineRule="auto"/>
        <w:ind w:firstLine="0"/>
        <w:textAlignment w:val="baseline"/>
        <w:rPr>
          <w:rFonts w:ascii="仿宋" w:hAnsi="仿宋" w:eastAsia="仿宋" w:cs="仿宋"/>
          <w:b/>
          <w:bCs/>
          <w:sz w:val="24"/>
          <w:szCs w:val="24"/>
        </w:rPr>
      </w:pPr>
    </w:p>
    <w:p>
      <w:pPr>
        <w:pStyle w:val="5"/>
        <w:snapToGrid w:val="0"/>
        <w:spacing w:line="360" w:lineRule="auto"/>
        <w:ind w:firstLine="0"/>
        <w:textAlignment w:val="baseline"/>
        <w:rPr>
          <w:rFonts w:ascii="仿宋" w:hAnsi="仿宋" w:eastAsia="仿宋" w:cs="仿宋"/>
          <w:b/>
          <w:bCs/>
          <w:sz w:val="24"/>
          <w:szCs w:val="24"/>
        </w:rPr>
      </w:pPr>
      <w:r>
        <w:rPr>
          <w:rFonts w:hint="eastAsia" w:ascii="仿宋" w:hAnsi="仿宋" w:eastAsia="仿宋" w:cs="仿宋"/>
          <w:b/>
          <w:bCs/>
          <w:sz w:val="24"/>
          <w:szCs w:val="24"/>
        </w:rPr>
        <w:t>注：</w:t>
      </w:r>
    </w:p>
    <w:p>
      <w:pPr>
        <w:pStyle w:val="5"/>
        <w:snapToGrid w:val="0"/>
        <w:spacing w:line="360" w:lineRule="auto"/>
        <w:ind w:firstLine="0"/>
        <w:textAlignment w:val="baseline"/>
        <w:rPr>
          <w:rFonts w:ascii="仿宋" w:hAnsi="仿宋" w:eastAsia="仿宋" w:cs="仿宋"/>
          <w:sz w:val="24"/>
          <w:szCs w:val="24"/>
        </w:rPr>
      </w:pPr>
      <w:r>
        <w:rPr>
          <w:rFonts w:hint="eastAsia" w:ascii="仿宋" w:hAnsi="仿宋" w:eastAsia="仿宋" w:cs="仿宋"/>
          <w:sz w:val="24"/>
          <w:szCs w:val="24"/>
        </w:rPr>
        <w:t>1.上表8、9项内容可自行添加（格式自拟）。</w:t>
      </w:r>
    </w:p>
    <w:p>
      <w:pPr>
        <w:pStyle w:val="5"/>
        <w:snapToGrid w:val="0"/>
        <w:spacing w:line="360" w:lineRule="auto"/>
        <w:textAlignment w:val="baseline"/>
        <w:rPr>
          <w:rFonts w:ascii="仿宋" w:hAnsi="仿宋" w:eastAsia="仿宋" w:cs="仿宋"/>
        </w:rPr>
      </w:pPr>
    </w:p>
    <w:p>
      <w:pPr>
        <w:pStyle w:val="5"/>
        <w:snapToGrid w:val="0"/>
        <w:spacing w:line="360" w:lineRule="auto"/>
        <w:textAlignment w:val="baseline"/>
        <w:rPr>
          <w:rFonts w:ascii="仿宋" w:hAnsi="仿宋" w:eastAsia="仿宋" w:cs="仿宋"/>
        </w:rPr>
        <w:sectPr>
          <w:pgSz w:w="11906" w:h="16838"/>
          <w:pgMar w:top="1440" w:right="1758" w:bottom="1440" w:left="1758" w:header="851" w:footer="851" w:gutter="0"/>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359" w:name="_Toc19429"/>
      <w:bookmarkStart w:id="360" w:name="_Toc7544"/>
      <w:bookmarkStart w:id="361" w:name="_Toc24453"/>
      <w:bookmarkStart w:id="362" w:name="_Toc922"/>
      <w:bookmarkStart w:id="363" w:name="_Toc14446"/>
      <w:bookmarkStart w:id="364" w:name="_Toc28469"/>
      <w:bookmarkStart w:id="365" w:name="_Toc11912"/>
      <w:bookmarkStart w:id="366" w:name="_Toc22827"/>
      <w:r>
        <w:rPr>
          <w:rFonts w:hint="eastAsia" w:ascii="仿宋" w:hAnsi="仿宋" w:eastAsia="仿宋" w:cs="仿宋"/>
          <w:sz w:val="32"/>
          <w:szCs w:val="32"/>
        </w:rPr>
        <w:t>5、无重大违法记录声明书</w:t>
      </w:r>
      <w:bookmarkEnd w:id="350"/>
      <w:bookmarkEnd w:id="359"/>
      <w:bookmarkEnd w:id="360"/>
      <w:bookmarkEnd w:id="361"/>
      <w:bookmarkEnd w:id="362"/>
      <w:bookmarkEnd w:id="363"/>
      <w:bookmarkEnd w:id="364"/>
      <w:bookmarkEnd w:id="365"/>
      <w:bookmarkEnd w:id="366"/>
    </w:p>
    <w:p>
      <w:pPr>
        <w:pStyle w:val="55"/>
        <w:snapToGrid w:val="0"/>
        <w:spacing w:before="312" w:line="480" w:lineRule="auto"/>
        <w:textAlignment w:val="baseline"/>
        <w:rPr>
          <w:rFonts w:ascii="仿宋" w:hAnsi="仿宋" w:eastAsia="仿宋" w:cs="仿宋"/>
          <w:spacing w:val="6"/>
          <w:sz w:val="28"/>
          <w:szCs w:val="28"/>
        </w:rPr>
      </w:pPr>
    </w:p>
    <w:p>
      <w:pPr>
        <w:pStyle w:val="55"/>
        <w:snapToGrid w:val="0"/>
        <w:spacing w:before="312" w:line="480" w:lineRule="auto"/>
        <w:textAlignment w:val="baseline"/>
        <w:rPr>
          <w:rFonts w:ascii="仿宋" w:hAnsi="仿宋" w:eastAsia="仿宋" w:cs="仿宋"/>
          <w:spacing w:val="6"/>
          <w:sz w:val="28"/>
          <w:szCs w:val="28"/>
        </w:rPr>
      </w:pPr>
      <w:r>
        <w:rPr>
          <w:rFonts w:hint="eastAsia" w:ascii="仿宋" w:hAnsi="仿宋" w:eastAsia="仿宋" w:cs="仿宋"/>
          <w:spacing w:val="6"/>
          <w:sz w:val="28"/>
          <w:szCs w:val="28"/>
        </w:rPr>
        <w:t>（采购代理机构）：</w:t>
      </w:r>
    </w:p>
    <w:p>
      <w:pPr>
        <w:pStyle w:val="55"/>
        <w:snapToGrid w:val="0"/>
        <w:spacing w:before="156" w:line="480" w:lineRule="auto"/>
        <w:ind w:firstLine="584" w:firstLineChars="200"/>
        <w:textAlignment w:val="baseline"/>
        <w:rPr>
          <w:rFonts w:ascii="仿宋" w:hAnsi="仿宋" w:eastAsia="仿宋" w:cs="仿宋"/>
          <w:spacing w:val="6"/>
          <w:sz w:val="28"/>
          <w:szCs w:val="28"/>
        </w:rPr>
      </w:pPr>
      <w:r>
        <w:rPr>
          <w:rFonts w:hint="eastAsia" w:ascii="仿宋" w:hAnsi="仿宋" w:eastAsia="仿宋" w:cs="仿宋"/>
          <w:spacing w:val="6"/>
          <w:sz w:val="28"/>
          <w:szCs w:val="28"/>
        </w:rPr>
        <w:t>我方参与的</w:t>
      </w:r>
      <w:r>
        <w:rPr>
          <w:rFonts w:hint="eastAsia" w:ascii="仿宋" w:hAnsi="仿宋" w:eastAsia="仿宋" w:cs="仿宋"/>
          <w:spacing w:val="6"/>
          <w:sz w:val="28"/>
          <w:szCs w:val="28"/>
          <w:u w:val="single" w:color="000000"/>
        </w:rPr>
        <w:t xml:space="preserve">   （采购项目名称）</w:t>
      </w:r>
      <w:r>
        <w:rPr>
          <w:rFonts w:hint="eastAsia" w:ascii="仿宋" w:hAnsi="仿宋" w:eastAsia="仿宋" w:cs="仿宋"/>
          <w:spacing w:val="6"/>
          <w:sz w:val="28"/>
          <w:szCs w:val="28"/>
        </w:rPr>
        <w:t>（采购编号：　　　　）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55"/>
        <w:spacing w:line="480" w:lineRule="auto"/>
        <w:ind w:firstLine="584" w:firstLineChars="200"/>
        <w:rPr>
          <w:rFonts w:ascii="仿宋" w:hAnsi="仿宋" w:eastAsia="仿宋" w:cs="仿宋"/>
          <w:sz w:val="28"/>
          <w:szCs w:val="28"/>
        </w:rPr>
      </w:pPr>
      <w:r>
        <w:rPr>
          <w:rFonts w:hint="eastAsia" w:ascii="仿宋" w:hAnsi="仿宋" w:eastAsia="仿宋" w:cs="仿宋"/>
          <w:spacing w:val="6"/>
          <w:sz w:val="28"/>
          <w:szCs w:val="28"/>
        </w:rPr>
        <w:tab/>
      </w:r>
      <w:r>
        <w:rPr>
          <w:rFonts w:hint="eastAsia" w:ascii="仿宋" w:hAnsi="仿宋" w:eastAsia="仿宋" w:cs="仿宋"/>
          <w:spacing w:val="6"/>
          <w:sz w:val="28"/>
          <w:szCs w:val="28"/>
        </w:rPr>
        <w:t>特此声明。</w:t>
      </w:r>
    </w:p>
    <w:p>
      <w:pPr>
        <w:pStyle w:val="56"/>
        <w:snapToGrid w:val="0"/>
        <w:jc w:val="center"/>
        <w:textAlignment w:val="baseline"/>
        <w:rPr>
          <w:rFonts w:ascii="仿宋" w:hAnsi="仿宋" w:eastAsia="仿宋" w:cs="仿宋"/>
          <w:sz w:val="28"/>
          <w:szCs w:val="28"/>
        </w:rPr>
      </w:pPr>
    </w:p>
    <w:p>
      <w:pPr>
        <w:pStyle w:val="56"/>
        <w:snapToGrid w:val="0"/>
        <w:spacing w:line="480" w:lineRule="auto"/>
        <w:jc w:val="center"/>
        <w:textAlignment w:val="baseline"/>
        <w:rPr>
          <w:rFonts w:ascii="仿宋" w:hAnsi="仿宋" w:eastAsia="仿宋" w:cs="仿宋"/>
          <w:sz w:val="28"/>
          <w:szCs w:val="28"/>
        </w:rPr>
      </w:pPr>
      <w:r>
        <w:rPr>
          <w:rFonts w:hint="eastAsia" w:ascii="仿宋" w:hAnsi="仿宋" w:eastAsia="仿宋" w:cs="仿宋"/>
          <w:sz w:val="28"/>
          <w:szCs w:val="28"/>
        </w:rPr>
        <w:t>投标人（盖章）：</w:t>
      </w:r>
    </w:p>
    <w:p>
      <w:pPr>
        <w:pStyle w:val="56"/>
        <w:snapToGrid w:val="0"/>
        <w:spacing w:line="480" w:lineRule="auto"/>
        <w:jc w:val="center"/>
        <w:textAlignment w:val="baseline"/>
        <w:rPr>
          <w:rFonts w:ascii="仿宋" w:hAnsi="仿宋" w:eastAsia="仿宋" w:cs="仿宋"/>
          <w:sz w:val="28"/>
          <w:szCs w:val="28"/>
        </w:rPr>
      </w:pPr>
      <w:r>
        <w:rPr>
          <w:rFonts w:hint="eastAsia" w:ascii="仿宋" w:hAnsi="仿宋" w:eastAsia="仿宋" w:cs="仿宋"/>
          <w:sz w:val="28"/>
          <w:szCs w:val="28"/>
        </w:rPr>
        <w:t>二〇   年  月  日</w:t>
      </w:r>
    </w:p>
    <w:p>
      <w:pPr>
        <w:pStyle w:val="4"/>
        <w:snapToGrid w:val="0"/>
        <w:spacing w:before="240" w:after="240"/>
        <w:ind w:firstLine="0" w:firstLineChars="0"/>
        <w:jc w:val="center"/>
        <w:textAlignment w:val="baseline"/>
        <w:rPr>
          <w:rFonts w:hint="eastAsia" w:ascii="仿宋" w:hAnsi="仿宋" w:eastAsia="仿宋" w:cs="仿宋"/>
          <w:sz w:val="32"/>
          <w:szCs w:val="32"/>
          <w:lang w:val="en-US" w:eastAsia="zh-CN"/>
        </w:rPr>
      </w:pPr>
      <w:bookmarkStart w:id="367" w:name="_Toc531359052"/>
      <w:bookmarkStart w:id="368" w:name="_Toc7541"/>
    </w:p>
    <w:bookmarkEnd w:id="367"/>
    <w:p>
      <w:pPr>
        <w:pStyle w:val="4"/>
        <w:numPr>
          <w:ilvl w:val="-1"/>
          <w:numId w:val="0"/>
        </w:numPr>
        <w:snapToGrid w:val="0"/>
        <w:spacing w:before="240" w:after="240"/>
        <w:ind w:firstLine="0" w:firstLineChars="0"/>
        <w:jc w:val="center"/>
        <w:textAlignment w:val="baseline"/>
        <w:rPr>
          <w:rFonts w:hint="eastAsia" w:ascii="仿宋" w:hAnsi="仿宋" w:eastAsia="仿宋" w:cs="仿宋"/>
          <w:sz w:val="32"/>
          <w:szCs w:val="32"/>
          <w:lang w:eastAsia="zh-CN"/>
        </w:rPr>
      </w:pPr>
      <w:bookmarkStart w:id="369" w:name="_Toc4762"/>
      <w:bookmarkStart w:id="370" w:name="_Toc17093"/>
      <w:bookmarkStart w:id="371" w:name="_Toc1694"/>
      <w:bookmarkStart w:id="372" w:name="_Toc1366"/>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本项目的特定资格要求</w:t>
      </w:r>
      <w:bookmarkEnd w:id="369"/>
      <w:bookmarkEnd w:id="370"/>
      <w:bookmarkEnd w:id="371"/>
    </w:p>
    <w:p>
      <w:pPr>
        <w:keepNext w:val="0"/>
        <w:keepLines w:val="0"/>
        <w:snapToGrid/>
        <w:jc w:val="center"/>
        <w:textAlignment w:val="auto"/>
        <w:outlineLvl w:val="9"/>
        <w:rPr>
          <w:rFonts w:hint="eastAsia" w:ascii="仿宋" w:hAnsi="仿宋" w:eastAsia="仿宋" w:cs="仿宋"/>
          <w:sz w:val="32"/>
          <w:szCs w:val="32"/>
        </w:rPr>
      </w:pPr>
      <w:r>
        <w:rPr>
          <w:rFonts w:hint="eastAsia" w:ascii="仿宋" w:hAnsi="仿宋" w:eastAsia="仿宋" w:cs="仿宋"/>
          <w:bCs/>
          <w:sz w:val="24"/>
          <w:highlight w:val="none"/>
        </w:rPr>
        <w:t>（根据公开招标投标邀请</w:t>
      </w:r>
      <w:r>
        <w:rPr>
          <w:rFonts w:hint="eastAsia" w:ascii="仿宋" w:hAnsi="仿宋" w:eastAsia="仿宋" w:cs="仿宋"/>
          <w:sz w:val="24"/>
          <w:szCs w:val="24"/>
          <w:lang w:eastAsia="zh-CN"/>
        </w:rPr>
        <w:t>本项目的特定资格要求</w:t>
      </w:r>
      <w:r>
        <w:rPr>
          <w:rFonts w:hint="eastAsia" w:ascii="仿宋" w:hAnsi="仿宋" w:eastAsia="仿宋" w:cs="仿宋"/>
          <w:bCs/>
          <w:sz w:val="24"/>
          <w:highlight w:val="none"/>
        </w:rPr>
        <w:t>提供相应的材料）</w:t>
      </w:r>
      <w:bookmarkEnd w:id="368"/>
      <w:bookmarkEnd w:id="372"/>
    </w:p>
    <w:p>
      <w:pPr>
        <w:pStyle w:val="5"/>
        <w:spacing w:line="360" w:lineRule="auto"/>
        <w:ind w:firstLine="0"/>
        <w:jc w:val="left"/>
        <w:rPr>
          <w:rFonts w:hint="eastAsia" w:ascii="仿宋" w:hAnsi="仿宋" w:eastAsia="仿宋" w:cs="仿宋"/>
          <w:color w:val="000000"/>
        </w:rPr>
      </w:pPr>
    </w:p>
    <w:p>
      <w:pPr>
        <w:pStyle w:val="56"/>
        <w:spacing w:line="360" w:lineRule="auto"/>
        <w:jc w:val="center"/>
        <w:rPr>
          <w:rFonts w:hint="eastAsia" w:ascii="仿宋" w:hAnsi="仿宋" w:eastAsia="仿宋" w:cs="仿宋"/>
          <w:b/>
          <w:color w:val="000000"/>
          <w:sz w:val="24"/>
          <w:szCs w:val="21"/>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snapToGrid w:val="0"/>
        <w:spacing w:line="720" w:lineRule="auto"/>
        <w:textAlignment w:val="baseline"/>
        <w:rPr>
          <w:rFonts w:ascii="仿宋" w:hAnsi="仿宋" w:eastAsia="仿宋" w:cs="仿宋"/>
          <w:sz w:val="20"/>
        </w:rPr>
      </w:pPr>
    </w:p>
    <w:p>
      <w:pPr>
        <w:pStyle w:val="4"/>
        <w:snapToGrid w:val="0"/>
        <w:spacing w:before="240" w:after="240"/>
        <w:ind w:firstLine="0" w:firstLineChars="0"/>
        <w:jc w:val="center"/>
        <w:textAlignment w:val="baseline"/>
        <w:rPr>
          <w:rFonts w:ascii="仿宋" w:hAnsi="仿宋" w:eastAsia="仿宋" w:cs="仿宋"/>
          <w:sz w:val="44"/>
          <w:szCs w:val="44"/>
        </w:rPr>
      </w:pPr>
      <w:bookmarkStart w:id="373" w:name="_Toc5943"/>
      <w:bookmarkStart w:id="374" w:name="_Toc25130"/>
      <w:bookmarkStart w:id="375" w:name="_Toc31199"/>
      <w:bookmarkStart w:id="376" w:name="_Toc32418"/>
      <w:bookmarkStart w:id="377" w:name="_Toc23228"/>
      <w:bookmarkStart w:id="378" w:name="_Toc493956058"/>
      <w:bookmarkStart w:id="379" w:name="_Toc14198"/>
      <w:bookmarkStart w:id="380" w:name="_Toc32648"/>
      <w:bookmarkStart w:id="381" w:name="_Toc4164"/>
      <w:r>
        <w:rPr>
          <w:rFonts w:hint="eastAsia" w:ascii="仿宋" w:hAnsi="仿宋" w:eastAsia="仿宋" w:cs="仿宋"/>
          <w:sz w:val="44"/>
          <w:szCs w:val="44"/>
        </w:rPr>
        <w:t>二、资信商务及技术文件格式</w:t>
      </w:r>
      <w:bookmarkEnd w:id="373"/>
      <w:bookmarkEnd w:id="374"/>
      <w:bookmarkEnd w:id="375"/>
      <w:bookmarkEnd w:id="376"/>
      <w:bookmarkEnd w:id="377"/>
      <w:bookmarkEnd w:id="378"/>
      <w:bookmarkEnd w:id="379"/>
      <w:bookmarkEnd w:id="380"/>
      <w:bookmarkEnd w:id="381"/>
    </w:p>
    <w:p>
      <w:pPr>
        <w:pStyle w:val="57"/>
        <w:snapToGrid w:val="0"/>
        <w:spacing w:line="360" w:lineRule="auto"/>
        <w:jc w:val="left"/>
        <w:textAlignment w:val="baseline"/>
        <w:rPr>
          <w:rFonts w:ascii="仿宋" w:hAnsi="仿宋" w:eastAsia="仿宋" w:cs="仿宋"/>
          <w:spacing w:val="20"/>
          <w:sz w:val="24"/>
          <w:szCs w:val="24"/>
          <w:u w:val="single"/>
        </w:rPr>
      </w:pPr>
    </w:p>
    <w:p>
      <w:pPr>
        <w:pStyle w:val="4"/>
        <w:snapToGrid w:val="0"/>
        <w:spacing w:before="240" w:after="240"/>
        <w:ind w:firstLine="0" w:firstLineChars="0"/>
        <w:jc w:val="center"/>
        <w:textAlignment w:val="baseline"/>
        <w:rPr>
          <w:rFonts w:ascii="仿宋" w:hAnsi="仿宋" w:eastAsia="仿宋" w:cs="仿宋"/>
          <w:sz w:val="32"/>
          <w:szCs w:val="32"/>
        </w:rPr>
        <w:sectPr>
          <w:pgSz w:w="11906" w:h="16838"/>
          <w:pgMar w:top="1440" w:right="1758" w:bottom="1440" w:left="1758" w:header="851" w:footer="851" w:gutter="0"/>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382" w:name="_Toc14035"/>
      <w:bookmarkStart w:id="383" w:name="_Toc28752"/>
      <w:bookmarkStart w:id="384" w:name="_Toc8836"/>
      <w:bookmarkStart w:id="385" w:name="_Toc493956059"/>
      <w:bookmarkStart w:id="386" w:name="_Toc30444"/>
      <w:bookmarkStart w:id="387" w:name="_Toc1296"/>
      <w:bookmarkStart w:id="388" w:name="_Toc9410"/>
      <w:bookmarkStart w:id="389" w:name="_Toc26305"/>
      <w:bookmarkStart w:id="390" w:name="_Toc11431"/>
      <w:r>
        <w:rPr>
          <w:rFonts w:hint="eastAsia" w:ascii="仿宋" w:hAnsi="仿宋" w:eastAsia="仿宋" w:cs="仿宋"/>
          <w:sz w:val="32"/>
          <w:szCs w:val="32"/>
        </w:rPr>
        <w:t>1、投标声明书</w:t>
      </w:r>
      <w:bookmarkEnd w:id="382"/>
      <w:bookmarkEnd w:id="383"/>
      <w:bookmarkEnd w:id="384"/>
      <w:bookmarkEnd w:id="385"/>
      <w:bookmarkEnd w:id="386"/>
      <w:bookmarkEnd w:id="387"/>
      <w:bookmarkEnd w:id="388"/>
      <w:bookmarkEnd w:id="389"/>
      <w:bookmarkEnd w:id="390"/>
    </w:p>
    <w:p>
      <w:pPr>
        <w:pStyle w:val="51"/>
        <w:tabs>
          <w:tab w:val="left" w:pos="0"/>
        </w:tabs>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（采购代理机构）：</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u w:val="single" w:color="000000"/>
        </w:rPr>
        <w:t xml:space="preserve">        (投标人全称</w:t>
      </w:r>
      <w:r>
        <w:rPr>
          <w:rFonts w:hint="eastAsia" w:ascii="仿宋" w:hAnsi="仿宋" w:eastAsia="仿宋" w:cs="仿宋"/>
          <w:sz w:val="24"/>
          <w:szCs w:val="24"/>
        </w:rPr>
        <w:t>)系中华人民共和国合法企业，经营地址</w:t>
      </w:r>
      <w:r>
        <w:rPr>
          <w:rFonts w:hint="eastAsia" w:ascii="仿宋" w:hAnsi="仿宋" w:eastAsia="仿宋" w:cs="仿宋"/>
          <w:sz w:val="24"/>
          <w:szCs w:val="24"/>
          <w:u w:val="single" w:color="000000"/>
        </w:rPr>
        <w:t xml:space="preserve">         </w:t>
      </w:r>
      <w:r>
        <w:rPr>
          <w:rFonts w:hint="eastAsia" w:ascii="仿宋" w:hAnsi="仿宋" w:eastAsia="仿宋" w:cs="仿宋"/>
          <w:sz w:val="24"/>
          <w:szCs w:val="24"/>
        </w:rPr>
        <w:t>。</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color="000000"/>
        </w:rPr>
        <w:t>(法定代表人或负责人名字)</w:t>
      </w:r>
      <w:r>
        <w:rPr>
          <w:rFonts w:hint="eastAsia" w:ascii="仿宋" w:hAnsi="仿宋" w:eastAsia="仿宋" w:cs="仿宋"/>
          <w:sz w:val="24"/>
          <w:szCs w:val="24"/>
        </w:rPr>
        <w:t>系</w:t>
      </w:r>
      <w:r>
        <w:rPr>
          <w:rFonts w:hint="eastAsia" w:ascii="仿宋" w:hAnsi="仿宋" w:eastAsia="仿宋" w:cs="仿宋"/>
          <w:sz w:val="24"/>
          <w:szCs w:val="24"/>
          <w:u w:val="single" w:color="000000"/>
        </w:rPr>
        <w:t xml:space="preserve">    (投标人名称)       </w:t>
      </w:r>
      <w:r>
        <w:rPr>
          <w:rFonts w:hint="eastAsia" w:ascii="仿宋" w:hAnsi="仿宋" w:eastAsia="仿宋" w:cs="仿宋"/>
          <w:sz w:val="24"/>
          <w:szCs w:val="24"/>
        </w:rPr>
        <w:t>为负责人，我方愿意参加贵方组织的</w:t>
      </w:r>
      <w:r>
        <w:rPr>
          <w:rFonts w:hint="eastAsia" w:ascii="仿宋" w:hAnsi="仿宋" w:eastAsia="仿宋" w:cs="仿宋"/>
          <w:sz w:val="24"/>
          <w:szCs w:val="24"/>
          <w:u w:val="single" w:color="000000"/>
        </w:rPr>
        <w:t>（项目名称）（采购编号：）</w:t>
      </w:r>
      <w:r>
        <w:rPr>
          <w:rFonts w:hint="eastAsia" w:ascii="仿宋" w:hAnsi="仿宋" w:eastAsia="仿宋" w:cs="仿宋"/>
          <w:sz w:val="24"/>
          <w:szCs w:val="24"/>
        </w:rPr>
        <w:t>的投标。为便于贵方公正、择优地确定中标人以及投标产品和服务，我方就本次投标有关事项郑重承诺如下：</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1、我方向贵方提交的所有投标文件、资料都是准确的和真实的。</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2、我方承诺已经具备《中华人民共和国政府采购法》、《中华人民共和国政府采购法实施条例》中规定的参加政府采购活动的投标人应当具备的条件，并真实提供相关材料。</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3、提供投标人须知规定的全部投标文件，包括：</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资格审查文件正本  份，副本  份；</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资信商务及技术文件正本  份，副本  份；</w:t>
      </w:r>
    </w:p>
    <w:p>
      <w:pPr>
        <w:pStyle w:val="51"/>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报价文件正本</w:t>
      </w:r>
      <w:r>
        <w:rPr>
          <w:rFonts w:ascii="仿宋" w:hAnsi="仿宋" w:eastAsia="仿宋" w:cs="仿宋"/>
          <w:sz w:val="24"/>
          <w:szCs w:val="24"/>
        </w:rPr>
        <w:t xml:space="preserve">  </w:t>
      </w:r>
      <w:r>
        <w:rPr>
          <w:rFonts w:hint="eastAsia" w:ascii="仿宋" w:hAnsi="仿宋" w:eastAsia="仿宋" w:cs="仿宋"/>
          <w:sz w:val="24"/>
          <w:szCs w:val="24"/>
        </w:rPr>
        <w:t>份，副本</w:t>
      </w:r>
      <w:r>
        <w:rPr>
          <w:rFonts w:ascii="仿宋" w:hAnsi="仿宋" w:eastAsia="仿宋" w:cs="仿宋"/>
          <w:sz w:val="24"/>
          <w:szCs w:val="24"/>
        </w:rPr>
        <w:t xml:space="preserve">  </w:t>
      </w:r>
      <w:r>
        <w:rPr>
          <w:rFonts w:hint="eastAsia" w:ascii="仿宋" w:hAnsi="仿宋" w:eastAsia="仿宋" w:cs="仿宋"/>
          <w:sz w:val="24"/>
          <w:szCs w:val="24"/>
        </w:rPr>
        <w:t>份；</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投标人须知要求的投标人提交的全部文件；</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我方按招标文件要求采用  （保证金缴纳方式）   提交金额 （大写）（￥：  ）      投标保证金。</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按招标文件要求提供和交付的货物和服务的投标报价详见报价表。</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4、如果我方中标，在合同签订后</w:t>
      </w:r>
      <w:r>
        <w:rPr>
          <w:rFonts w:hint="eastAsia" w:ascii="仿宋" w:hAnsi="仿宋" w:eastAsia="仿宋" w:cs="仿宋"/>
          <w:sz w:val="24"/>
          <w:szCs w:val="24"/>
          <w:u w:val="single" w:color="000000"/>
        </w:rPr>
        <w:t xml:space="preserve">      </w:t>
      </w:r>
      <w:r>
        <w:rPr>
          <w:rFonts w:hint="eastAsia" w:ascii="仿宋" w:hAnsi="仿宋" w:eastAsia="仿宋" w:cs="仿宋"/>
          <w:sz w:val="24"/>
          <w:szCs w:val="24"/>
        </w:rPr>
        <w:t>天（日历天）完成该项目。</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5、如果我方中标，将派出</w:t>
      </w:r>
      <w:r>
        <w:rPr>
          <w:rFonts w:hint="eastAsia" w:ascii="仿宋" w:hAnsi="仿宋" w:eastAsia="仿宋" w:cs="仿宋"/>
          <w:sz w:val="24"/>
          <w:szCs w:val="24"/>
          <w:u w:val="single" w:color="000000"/>
        </w:rPr>
        <w:t>（姓名及身份证号码），</w:t>
      </w:r>
      <w:r>
        <w:rPr>
          <w:rFonts w:hint="eastAsia" w:ascii="仿宋" w:hAnsi="仿宋" w:eastAsia="仿宋" w:cs="仿宋"/>
          <w:sz w:val="24"/>
          <w:szCs w:val="24"/>
        </w:rPr>
        <w:t>作为本项目与采购单位联系的项目实施负责人，联系手机号码：。在项目实施过程中，并承诺项目实施负责人不更换，若确需要更换的，书面征得采购人同意后才准予更换。</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6、我方的投标有效期自在开标日起</w:t>
      </w:r>
      <w:r>
        <w:rPr>
          <w:rFonts w:hint="eastAsia" w:ascii="仿宋" w:hAnsi="仿宋" w:eastAsia="仿宋" w:cs="仿宋"/>
          <w:sz w:val="24"/>
          <w:szCs w:val="24"/>
          <w:u w:val="single" w:color="000000"/>
        </w:rPr>
        <w:t>90</w:t>
      </w:r>
      <w:r>
        <w:rPr>
          <w:rFonts w:hint="eastAsia" w:ascii="仿宋" w:hAnsi="仿宋" w:eastAsia="仿宋" w:cs="仿宋"/>
          <w:sz w:val="24"/>
          <w:szCs w:val="24"/>
        </w:rPr>
        <w:t>天内有效。如果在开标后规定的投标有效期内撤回投标，贵方可不退还我方的投标保证金。</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7、我方在投标之前已经与贵方进行了充分的沟通，完全理解并接受招标文件的各项规定和要求，对招标文件的合理性、合法性不再有异议。</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我方愿意向贵方提供真实完整的任何与该项投标有关的数据、情况和技术资料。若贵方需要，我方愿意提供我方作出的一切承诺的证明材料。</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8、我方已详细审核全部招标文件，包括招标文件的澄清或修改文件（如有的话）、参考资料及有关附件，已经了解我方对于招标文件、采购过程、采购结果有依法进行询问、质疑、投诉的权利及相关渠道和要求。</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9、我方不是采购人的附属机构，并未为本项目提供整体设计、规范编制或者项目管理、监理、监测等服务。</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（一）提供虚假材料谋取成交、中标的；</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（二）采取不正当手段诋毁、排挤其他投标人的；</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（三）与采购人、其它投标人或者采购代理机构恶意串通的；</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（四）向采购人、采购代理机构行贿或者提供其他不正当利益的；</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（五）在招标采购过程中与采购人进行协商谈判的；</w:t>
      </w:r>
    </w:p>
    <w:p>
      <w:pPr>
        <w:pStyle w:val="51"/>
        <w:snapToGrid w:val="0"/>
        <w:spacing w:line="440" w:lineRule="exact"/>
        <w:ind w:firstLine="240" w:firstLineChars="100"/>
        <w:textAlignment w:val="baseline"/>
        <w:rPr>
          <w:rFonts w:ascii="仿宋" w:hAnsi="仿宋" w:eastAsia="仿宋" w:cs="仿宋"/>
          <w:sz w:val="24"/>
          <w:szCs w:val="24"/>
        </w:rPr>
      </w:pPr>
      <w:r>
        <w:rPr>
          <w:rFonts w:hint="eastAsia" w:ascii="仿宋" w:hAnsi="仿宋" w:eastAsia="仿宋" w:cs="仿宋"/>
          <w:sz w:val="24"/>
          <w:szCs w:val="24"/>
        </w:rPr>
        <w:t>（六）拒绝有关部门监督检查或提供虚假情况的。</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11、如中标，本投标文件至本项目合同履行完毕止均保持有效，我方将按招标文件及政府采购法律、法规的规定履行合同责任和义务。</w:t>
      </w:r>
    </w:p>
    <w:p>
      <w:pPr>
        <w:pStyle w:val="5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12、以上事项如有虚假或隐瞒，我方愿意承担一切不利后果，并不再寻求任何旨在减轻或免除法律责任。</w:t>
      </w:r>
    </w:p>
    <w:p>
      <w:pPr>
        <w:pStyle w:val="51"/>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与本次投标有关的一切正式往来信函请寄：</w:t>
      </w:r>
    </w:p>
    <w:p>
      <w:pPr>
        <w:pStyle w:val="51"/>
        <w:snapToGrid w:val="0"/>
        <w:spacing w:line="440" w:lineRule="exact"/>
        <w:ind w:firstLine="480"/>
        <w:textAlignment w:val="baseline"/>
        <w:rPr>
          <w:rFonts w:ascii="仿宋" w:hAnsi="仿宋" w:eastAsia="仿宋" w:cs="仿宋"/>
          <w:sz w:val="24"/>
          <w:szCs w:val="24"/>
        </w:rPr>
      </w:pPr>
      <w:r>
        <w:rPr>
          <w:rFonts w:hint="eastAsia" w:ascii="仿宋" w:hAnsi="仿宋" w:eastAsia="仿宋" w:cs="仿宋"/>
          <w:sz w:val="24"/>
          <w:szCs w:val="24"/>
        </w:rPr>
        <w:t>地址：                 邮编：　</w:t>
      </w:r>
    </w:p>
    <w:p>
      <w:pPr>
        <w:pStyle w:val="11"/>
        <w:snapToGrid w:val="0"/>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电话：                 传真：</w:t>
      </w:r>
    </w:p>
    <w:p>
      <w:pPr>
        <w:snapToGrid w:val="0"/>
        <w:spacing w:line="360" w:lineRule="auto"/>
        <w:jc w:val="left"/>
        <w:textAlignment w:val="baseline"/>
        <w:rPr>
          <w:rFonts w:ascii="仿宋" w:hAnsi="仿宋" w:eastAsia="仿宋" w:cs="仿宋"/>
          <w:spacing w:val="20"/>
          <w:sz w:val="24"/>
          <w:szCs w:val="24"/>
        </w:rPr>
      </w:pPr>
    </w:p>
    <w:p>
      <w:pPr>
        <w:snapToGrid w:val="0"/>
        <w:spacing w:line="360" w:lineRule="auto"/>
        <w:jc w:val="left"/>
        <w:textAlignment w:val="baseline"/>
        <w:rPr>
          <w:rFonts w:ascii="仿宋" w:hAnsi="仿宋" w:eastAsia="仿宋" w:cs="仿宋"/>
          <w:spacing w:val="20"/>
          <w:sz w:val="24"/>
          <w:szCs w:val="24"/>
        </w:rPr>
      </w:pPr>
    </w:p>
    <w:p>
      <w:pPr>
        <w:snapToGrid w:val="0"/>
        <w:spacing w:line="360" w:lineRule="auto"/>
        <w:ind w:firstLine="2100" w:firstLineChars="75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负责人（或被委托人）签字或盖章：</w:t>
      </w:r>
    </w:p>
    <w:p>
      <w:pPr>
        <w:snapToGrid w:val="0"/>
        <w:spacing w:line="360" w:lineRule="auto"/>
        <w:ind w:firstLine="4760" w:firstLineChars="17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58"/>
        <w:snapToGrid w:val="0"/>
        <w:spacing w:line="360" w:lineRule="auto"/>
        <w:ind w:firstLine="5600" w:firstLineChars="20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日期：</w:t>
      </w:r>
    </w:p>
    <w:p>
      <w:pPr>
        <w:pStyle w:val="51"/>
        <w:snapToGrid w:val="0"/>
        <w:spacing w:line="440" w:lineRule="exact"/>
        <w:textAlignment w:val="baseline"/>
        <w:rPr>
          <w:rFonts w:ascii="仿宋" w:hAnsi="仿宋" w:eastAsia="仿宋" w:cs="仿宋"/>
          <w:sz w:val="24"/>
          <w:szCs w:val="24"/>
        </w:rPr>
      </w:pPr>
    </w:p>
    <w:p>
      <w:pPr>
        <w:pStyle w:val="51"/>
        <w:snapToGrid w:val="0"/>
        <w:spacing w:line="440" w:lineRule="exact"/>
        <w:textAlignment w:val="baseline"/>
        <w:rPr>
          <w:rFonts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b/>
          <w:bCs/>
          <w:sz w:val="24"/>
          <w:szCs w:val="24"/>
        </w:rPr>
        <w:t>▲</w:t>
      </w:r>
      <w:r>
        <w:rPr>
          <w:rFonts w:hint="eastAsia" w:ascii="仿宋" w:hAnsi="仿宋" w:eastAsia="仿宋" w:cs="仿宋"/>
          <w:sz w:val="24"/>
          <w:szCs w:val="24"/>
        </w:rPr>
        <w:t>按照本声明书要求填报。</w:t>
      </w:r>
    </w:p>
    <w:p>
      <w:pPr>
        <w:pStyle w:val="4"/>
        <w:snapToGrid w:val="0"/>
        <w:spacing w:before="240" w:after="240"/>
        <w:ind w:firstLine="0" w:firstLineChars="0"/>
        <w:jc w:val="center"/>
        <w:textAlignment w:val="baseline"/>
        <w:rPr>
          <w:rFonts w:ascii="仿宋" w:hAnsi="仿宋" w:eastAsia="仿宋" w:cs="仿宋"/>
          <w:sz w:val="32"/>
          <w:szCs w:val="32"/>
        </w:rPr>
        <w:sectPr>
          <w:pgSz w:w="11906" w:h="16838"/>
          <w:pgMar w:top="1440" w:right="1758" w:bottom="1440" w:left="1758" w:header="851" w:footer="851" w:gutter="0"/>
          <w:cols w:space="720" w:num="1"/>
          <w:docGrid w:linePitch="312" w:charSpace="0"/>
        </w:sectPr>
      </w:pPr>
      <w:bookmarkStart w:id="391" w:name="_Toc493956060"/>
    </w:p>
    <w:p>
      <w:pPr>
        <w:pStyle w:val="4"/>
        <w:snapToGrid w:val="0"/>
        <w:spacing w:before="240" w:after="240"/>
        <w:ind w:firstLine="0" w:firstLineChars="0"/>
        <w:jc w:val="center"/>
        <w:textAlignment w:val="baseline"/>
        <w:rPr>
          <w:rFonts w:ascii="仿宋" w:hAnsi="仿宋" w:eastAsia="仿宋" w:cs="仿宋"/>
          <w:sz w:val="32"/>
          <w:szCs w:val="32"/>
        </w:rPr>
      </w:pPr>
      <w:bookmarkStart w:id="392" w:name="_Toc14894"/>
      <w:bookmarkStart w:id="393" w:name="_Toc26712"/>
      <w:bookmarkStart w:id="394" w:name="_Toc948"/>
      <w:bookmarkStart w:id="395" w:name="_Toc20308"/>
      <w:bookmarkStart w:id="396" w:name="_Toc23622"/>
      <w:bookmarkStart w:id="397" w:name="_Toc9134"/>
      <w:bookmarkStart w:id="398" w:name="_Toc2895"/>
      <w:bookmarkStart w:id="399" w:name="_Toc21124"/>
      <w:r>
        <w:rPr>
          <w:rFonts w:hint="eastAsia" w:ascii="仿宋" w:hAnsi="仿宋" w:eastAsia="仿宋" w:cs="仿宋"/>
          <w:sz w:val="32"/>
          <w:szCs w:val="32"/>
        </w:rPr>
        <w:t>2、投标人参标申请表</w:t>
      </w:r>
      <w:bookmarkEnd w:id="391"/>
      <w:bookmarkEnd w:id="392"/>
      <w:bookmarkEnd w:id="393"/>
      <w:bookmarkEnd w:id="394"/>
      <w:bookmarkEnd w:id="395"/>
      <w:bookmarkEnd w:id="396"/>
      <w:bookmarkEnd w:id="397"/>
      <w:bookmarkEnd w:id="398"/>
      <w:bookmarkEnd w:id="399"/>
    </w:p>
    <w:tbl>
      <w:tblPr>
        <w:tblStyle w:val="24"/>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8"/>
        <w:gridCol w:w="1561"/>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投标人名称</w:t>
            </w: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投标人地址</w:t>
            </w: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注册资金</w:t>
            </w: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E-mail</w:t>
            </w: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textAlignment w:val="baseline"/>
              <w:rPr>
                <w:rFonts w:ascii="仿宋" w:hAnsi="仿宋" w:eastAsia="仿宋" w:cs="仿宋"/>
                <w:sz w:val="24"/>
                <w:szCs w:val="24"/>
              </w:rPr>
            </w:pPr>
            <w:r>
              <w:rPr>
                <w:rFonts w:hint="eastAsia" w:ascii="仿宋" w:hAnsi="仿宋" w:eastAsia="仿宋" w:cs="仿宋"/>
                <w:sz w:val="24"/>
                <w:szCs w:val="24"/>
              </w:rPr>
              <w:t>联系电话：</w:t>
            </w:r>
          </w:p>
        </w:tc>
        <w:tc>
          <w:tcPr>
            <w:tcW w:w="2843" w:type="dxa"/>
            <w:tcBorders>
              <w:top w:val="single" w:color="auto" w:sz="4" w:space="0"/>
              <w:left w:val="single" w:color="auto" w:sz="4" w:space="0"/>
              <w:bottom w:val="single" w:color="auto" w:sz="4" w:space="0"/>
            </w:tcBorders>
            <w:vAlign w:val="center"/>
          </w:tcPr>
          <w:p>
            <w:pPr>
              <w:pStyle w:val="60"/>
              <w:snapToGrid w:val="0"/>
              <w:textAlignment w:val="baseline"/>
              <w:rPr>
                <w:rFonts w:ascii="仿宋" w:hAnsi="仿宋" w:eastAsia="仿宋" w:cs="仿宋"/>
                <w:sz w:val="24"/>
                <w:szCs w:val="24"/>
              </w:rPr>
            </w:pPr>
            <w:r>
              <w:rPr>
                <w:rFonts w:hint="eastAsia" w:ascii="仿宋" w:hAnsi="仿宋" w:eastAsia="仿宋" w:cs="仿宋"/>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60"/>
              <w:snapToGrid w:val="0"/>
              <w:textAlignment w:val="baseline"/>
              <w:rPr>
                <w:rFonts w:ascii="仿宋" w:hAnsi="仿宋" w:eastAsia="仿宋" w:cs="仿宋"/>
                <w:sz w:val="24"/>
                <w:szCs w:val="24"/>
              </w:rPr>
            </w:pPr>
            <w:r>
              <w:rPr>
                <w:rFonts w:hint="eastAsia" w:ascii="仿宋" w:hAnsi="仿宋" w:eastAsia="仿宋" w:cs="仿宋"/>
                <w:sz w:val="24"/>
                <w:szCs w:val="24"/>
              </w:rPr>
              <w:t>联系电话：</w:t>
            </w:r>
          </w:p>
        </w:tc>
        <w:tc>
          <w:tcPr>
            <w:tcW w:w="2843" w:type="dxa"/>
            <w:tcBorders>
              <w:top w:val="single" w:color="auto" w:sz="4" w:space="0"/>
              <w:left w:val="single" w:color="auto" w:sz="4" w:space="0"/>
              <w:bottom w:val="single" w:color="auto" w:sz="4" w:space="0"/>
            </w:tcBorders>
            <w:vAlign w:val="center"/>
          </w:tcPr>
          <w:p>
            <w:pPr>
              <w:pStyle w:val="60"/>
              <w:snapToGrid w:val="0"/>
              <w:textAlignment w:val="baseline"/>
              <w:rPr>
                <w:rFonts w:ascii="仿宋" w:hAnsi="仿宋" w:eastAsia="仿宋" w:cs="仿宋"/>
                <w:sz w:val="24"/>
                <w:szCs w:val="24"/>
              </w:rPr>
            </w:pPr>
            <w:r>
              <w:rPr>
                <w:rFonts w:hint="eastAsia" w:ascii="仿宋" w:hAnsi="仿宋" w:eastAsia="仿宋" w:cs="仿宋"/>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60"/>
              <w:snapToGrid w:val="0"/>
              <w:ind w:left="-109" w:leftChars="-52" w:right="-113"/>
              <w:jc w:val="center"/>
              <w:textAlignment w:val="baseline"/>
              <w:rPr>
                <w:rFonts w:ascii="仿宋" w:hAnsi="仿宋" w:eastAsia="仿宋" w:cs="仿宋"/>
                <w:sz w:val="24"/>
                <w:szCs w:val="24"/>
              </w:rPr>
            </w:pPr>
            <w:r>
              <w:rPr>
                <w:rFonts w:hint="eastAsia" w:ascii="仿宋" w:hAnsi="仿宋" w:eastAsia="仿宋" w:cs="仿宋"/>
                <w:sz w:val="24"/>
                <w:szCs w:val="24"/>
              </w:rPr>
              <w:t>主营项目</w:t>
            </w:r>
          </w:p>
        </w:tc>
        <w:tc>
          <w:tcPr>
            <w:tcW w:w="7980" w:type="dxa"/>
            <w:gridSpan w:val="6"/>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60"/>
              <w:snapToGrid w:val="0"/>
              <w:ind w:left="-109" w:leftChars="-52" w:right="-113"/>
              <w:jc w:val="center"/>
              <w:textAlignment w:val="baseline"/>
              <w:rPr>
                <w:rFonts w:ascii="仿宋" w:hAnsi="仿宋" w:eastAsia="仿宋" w:cs="仿宋"/>
                <w:sz w:val="24"/>
                <w:szCs w:val="24"/>
              </w:rPr>
            </w:pPr>
            <w:r>
              <w:rPr>
                <w:rFonts w:hint="eastAsia" w:ascii="仿宋" w:hAnsi="仿宋" w:eastAsia="仿宋" w:cs="仿宋"/>
                <w:sz w:val="24"/>
                <w:szCs w:val="24"/>
              </w:rPr>
              <w:t>兼营项目</w:t>
            </w:r>
          </w:p>
        </w:tc>
        <w:tc>
          <w:tcPr>
            <w:tcW w:w="7980" w:type="dxa"/>
            <w:gridSpan w:val="6"/>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pPr>
              <w:pStyle w:val="60"/>
              <w:snapToGrid w:val="0"/>
              <w:textAlignment w:val="baseline"/>
              <w:rPr>
                <w:rFonts w:ascii="仿宋" w:hAnsi="仿宋" w:eastAsia="仿宋" w:cs="仿宋"/>
                <w:sz w:val="24"/>
                <w:szCs w:val="24"/>
              </w:rPr>
            </w:pPr>
            <w:r>
              <w:rPr>
                <w:rFonts w:hint="eastAsia" w:ascii="仿宋" w:hAnsi="仿宋" w:eastAsia="仿宋" w:cs="仿宋"/>
                <w:sz w:val="24"/>
                <w:szCs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采购编号</w:t>
            </w: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项目名称</w:t>
            </w: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投标品牌（如招标文件有品牌可选）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1</w:t>
            </w: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2</w:t>
            </w: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3</w:t>
            </w: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r>
              <w:rPr>
                <w:rFonts w:hint="eastAsia" w:ascii="仿宋" w:hAnsi="仿宋" w:eastAsia="仿宋" w:cs="仿宋"/>
                <w:sz w:val="24"/>
                <w:szCs w:val="24"/>
              </w:rPr>
              <w:t>4</w:t>
            </w: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214" w:type="dxa"/>
            <w:gridSpan w:val="4"/>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3189" w:type="dxa"/>
            <w:gridSpan w:val="2"/>
            <w:tcBorders>
              <w:top w:val="single" w:color="auto" w:sz="4" w:space="0"/>
              <w:left w:val="single" w:color="auto" w:sz="4" w:space="0"/>
              <w:bottom w:val="single" w:color="auto" w:sz="4" w:space="0"/>
              <w:right w:val="single" w:color="auto" w:sz="4" w:space="0"/>
            </w:tcBorders>
            <w:vAlign w:val="center"/>
          </w:tcPr>
          <w:p>
            <w:pPr>
              <w:pStyle w:val="60"/>
              <w:snapToGrid w:val="0"/>
              <w:jc w:val="center"/>
              <w:textAlignment w:val="baseline"/>
              <w:rPr>
                <w:rFonts w:ascii="仿宋" w:hAnsi="仿宋" w:eastAsia="仿宋" w:cs="仿宋"/>
                <w:sz w:val="24"/>
                <w:szCs w:val="24"/>
              </w:rPr>
            </w:pPr>
          </w:p>
        </w:tc>
        <w:tc>
          <w:tcPr>
            <w:tcW w:w="2843" w:type="dxa"/>
            <w:tcBorders>
              <w:top w:val="single" w:color="auto" w:sz="4" w:space="0"/>
              <w:left w:val="single" w:color="auto" w:sz="4" w:space="0"/>
              <w:bottom w:val="single" w:color="auto" w:sz="4" w:space="0"/>
            </w:tcBorders>
            <w:vAlign w:val="center"/>
          </w:tcPr>
          <w:p>
            <w:pPr>
              <w:pStyle w:val="60"/>
              <w:snapToGrid w:val="0"/>
              <w:jc w:val="center"/>
              <w:textAlignment w:val="baseline"/>
              <w:rPr>
                <w:rFonts w:ascii="仿宋" w:hAnsi="仿宋" w:eastAsia="仿宋" w:cs="仿宋"/>
                <w:sz w:val="24"/>
                <w:szCs w:val="24"/>
              </w:rPr>
            </w:pPr>
          </w:p>
        </w:tc>
      </w:tr>
    </w:tbl>
    <w:p>
      <w:pPr>
        <w:pStyle w:val="60"/>
        <w:snapToGrid w:val="0"/>
        <w:spacing w:line="560" w:lineRule="exact"/>
        <w:textAlignment w:val="baseline"/>
        <w:rPr>
          <w:rFonts w:ascii="仿宋" w:hAnsi="仿宋" w:eastAsia="仿宋" w:cs="仿宋"/>
          <w:sz w:val="24"/>
          <w:szCs w:val="24"/>
        </w:rPr>
      </w:pPr>
      <w:r>
        <w:rPr>
          <w:rFonts w:hint="eastAsia" w:ascii="仿宋" w:hAnsi="仿宋" w:eastAsia="仿宋" w:cs="仿宋"/>
          <w:sz w:val="24"/>
          <w:szCs w:val="24"/>
        </w:rPr>
        <w:t>投标人盖章：　　　填报时间：　　年　　月　　日</w:t>
      </w:r>
    </w:p>
    <w:p>
      <w:pPr>
        <w:pStyle w:val="4"/>
        <w:snapToGrid w:val="0"/>
        <w:spacing w:before="240" w:after="240"/>
        <w:ind w:firstLine="0" w:firstLineChars="0"/>
        <w:jc w:val="center"/>
        <w:textAlignment w:val="baseline"/>
        <w:rPr>
          <w:rFonts w:ascii="仿宋" w:hAnsi="仿宋" w:eastAsia="仿宋" w:cs="仿宋"/>
          <w:sz w:val="32"/>
          <w:szCs w:val="32"/>
        </w:rPr>
        <w:sectPr>
          <w:pgSz w:w="11906" w:h="16838"/>
          <w:pgMar w:top="1440" w:right="1758" w:bottom="1440" w:left="1758" w:header="851" w:footer="851" w:gutter="0"/>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400" w:name="_Toc493956062"/>
      <w:bookmarkStart w:id="401" w:name="_Toc29899"/>
      <w:bookmarkStart w:id="402" w:name="_Toc29626"/>
      <w:bookmarkStart w:id="403" w:name="_Toc25200"/>
      <w:bookmarkStart w:id="404" w:name="_Toc7535"/>
      <w:bookmarkStart w:id="405" w:name="_Toc27026"/>
      <w:bookmarkStart w:id="406" w:name="_Toc17553"/>
      <w:bookmarkStart w:id="407" w:name="_Toc8211"/>
      <w:bookmarkStart w:id="408" w:name="_Toc28791"/>
      <w:r>
        <w:rPr>
          <w:rFonts w:hint="eastAsia" w:ascii="仿宋" w:hAnsi="仿宋" w:eastAsia="仿宋" w:cs="仿宋"/>
          <w:sz w:val="32"/>
          <w:szCs w:val="32"/>
        </w:rPr>
        <w:t>3、中小企业声明函</w:t>
      </w:r>
      <w:bookmarkEnd w:id="400"/>
      <w:r>
        <w:rPr>
          <w:rFonts w:hint="eastAsia" w:ascii="仿宋" w:hAnsi="仿宋" w:eastAsia="仿宋" w:cs="仿宋"/>
          <w:sz w:val="32"/>
          <w:szCs w:val="32"/>
        </w:rPr>
        <w:t>（服务）</w:t>
      </w:r>
      <w:bookmarkEnd w:id="401"/>
      <w:bookmarkEnd w:id="402"/>
      <w:bookmarkEnd w:id="403"/>
      <w:bookmarkEnd w:id="404"/>
      <w:bookmarkEnd w:id="405"/>
      <w:bookmarkEnd w:id="406"/>
      <w:bookmarkEnd w:id="407"/>
      <w:bookmarkEnd w:id="408"/>
    </w:p>
    <w:p>
      <w:pPr>
        <w:pStyle w:val="61"/>
        <w:snapToGrid w:val="0"/>
        <w:spacing w:line="360" w:lineRule="auto"/>
        <w:ind w:firstLine="480" w:firstLineChars="200"/>
        <w:textAlignment w:val="baseline"/>
        <w:rPr>
          <w:rFonts w:ascii="仿宋" w:hAnsi="仿宋" w:eastAsia="仿宋" w:cs="仿宋"/>
          <w:sz w:val="24"/>
        </w:rPr>
      </w:pPr>
      <w:bookmarkStart w:id="409" w:name="_Toc493956063"/>
    </w:p>
    <w:p>
      <w:pPr>
        <w:pStyle w:val="61"/>
        <w:spacing w:line="360" w:lineRule="auto"/>
        <w:ind w:firstLine="480" w:firstLineChars="200"/>
        <w:rPr>
          <w:rFonts w:ascii="仿宋" w:hAnsi="仿宋" w:eastAsia="仿宋" w:cs="仿宋"/>
          <w:sz w:val="24"/>
        </w:rPr>
      </w:pPr>
      <w:r>
        <w:rPr>
          <w:rFonts w:hint="eastAsia" w:ascii="仿宋" w:hAnsi="仿宋" w:eastAsia="仿宋" w:cs="仿宋"/>
          <w:sz w:val="24"/>
        </w:rPr>
        <w:t>本公司郑重声明，根据《政府采购促进中小企业发展管理办法》（财库〔2020</w:t>
      </w:r>
      <w:r>
        <w:rPr>
          <w:rFonts w:hint="eastAsia" w:ascii="仿宋" w:hAnsi="仿宋" w:eastAsia="仿宋" w:cs="仿宋"/>
          <w:color w:val="000000"/>
        </w:rPr>
        <w:t>〕</w:t>
      </w:r>
      <w:r>
        <w:rPr>
          <w:rFonts w:hint="eastAsia" w:ascii="仿宋" w:hAnsi="仿宋" w:eastAsia="仿宋" w:cs="仿宋"/>
          <w:sz w:val="24"/>
        </w:rPr>
        <w:t>46号）的规定，本公司参加</w:t>
      </w:r>
      <w:r>
        <w:rPr>
          <w:rFonts w:hint="eastAsia" w:ascii="仿宋" w:hAnsi="仿宋" w:eastAsia="仿宋" w:cs="仿宋"/>
          <w:sz w:val="24"/>
          <w:u w:val="single"/>
        </w:rPr>
        <w:t>（单位名称）</w:t>
      </w:r>
      <w:r>
        <w:rPr>
          <w:rFonts w:hint="eastAsia" w:ascii="仿宋" w:hAnsi="仿宋" w:eastAsia="仿宋" w:cs="仿宋"/>
          <w:sz w:val="24"/>
        </w:rPr>
        <w:t>的</w:t>
      </w:r>
      <w:r>
        <w:rPr>
          <w:rFonts w:hint="eastAsia" w:ascii="仿宋" w:hAnsi="仿宋" w:eastAsia="仿宋" w:cs="仿宋"/>
          <w:sz w:val="24"/>
          <w:u w:val="single"/>
        </w:rPr>
        <w:t>（项目名称）</w:t>
      </w:r>
      <w:r>
        <w:rPr>
          <w:rFonts w:hint="eastAsia" w:ascii="仿宋" w:hAnsi="仿宋" w:eastAsia="仿宋" w:cs="仿宋"/>
          <w:sz w:val="24"/>
        </w:rPr>
        <w:t>采购活动，工程的施工单位全部为符合政策要求的中小企业（或者：服务全部由符合政策要求的中小企业承接）。相关企业的具体情况如下：</w:t>
      </w:r>
    </w:p>
    <w:p>
      <w:pPr>
        <w:pStyle w:val="61"/>
        <w:spacing w:line="360" w:lineRule="auto"/>
        <w:ind w:firstLine="480" w:firstLineChars="200"/>
        <w:rPr>
          <w:rFonts w:ascii="仿宋" w:hAnsi="仿宋" w:eastAsia="仿宋" w:cs="仿宋"/>
          <w:sz w:val="24"/>
        </w:rPr>
      </w:pPr>
      <w:r>
        <w:rPr>
          <w:rFonts w:hint="eastAsia" w:ascii="仿宋" w:hAnsi="仿宋" w:eastAsia="仿宋" w:cs="仿宋"/>
          <w:sz w:val="24"/>
        </w:rPr>
        <w:t>1. 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 小型企业、微型企业）；</w:t>
      </w:r>
    </w:p>
    <w:p>
      <w:pPr>
        <w:pStyle w:val="61"/>
        <w:spacing w:line="360" w:lineRule="auto"/>
        <w:ind w:firstLine="480" w:firstLineChars="200"/>
        <w:rPr>
          <w:rFonts w:ascii="仿宋" w:hAnsi="仿宋" w:eastAsia="仿宋" w:cs="仿宋"/>
          <w:sz w:val="24"/>
          <w:u w:val="single"/>
        </w:rPr>
      </w:pPr>
      <w:r>
        <w:rPr>
          <w:rFonts w:hint="eastAsia" w:ascii="仿宋" w:hAnsi="仿宋" w:eastAsia="仿宋" w:cs="仿宋"/>
          <w:sz w:val="24"/>
        </w:rPr>
        <w:t>2. 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 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 小型企业、微型企业）；</w:t>
      </w:r>
    </w:p>
    <w:p>
      <w:pPr>
        <w:pStyle w:val="61"/>
        <w:spacing w:line="360" w:lineRule="auto"/>
        <w:ind w:firstLine="480" w:firstLineChars="200"/>
        <w:rPr>
          <w:rFonts w:ascii="仿宋" w:hAnsi="仿宋" w:eastAsia="仿宋" w:cs="仿宋"/>
          <w:sz w:val="24"/>
        </w:rPr>
      </w:pPr>
      <w:r>
        <w:rPr>
          <w:rFonts w:hint="eastAsia" w:ascii="仿宋" w:hAnsi="仿宋" w:eastAsia="仿宋" w:cs="仿宋"/>
          <w:sz w:val="24"/>
        </w:rPr>
        <w:t>...........</w:t>
      </w:r>
    </w:p>
    <w:p>
      <w:pPr>
        <w:pStyle w:val="61"/>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pStyle w:val="61"/>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pStyle w:val="61"/>
        <w:spacing w:line="360" w:lineRule="auto"/>
        <w:ind w:firstLine="480" w:firstLineChars="200"/>
        <w:rPr>
          <w:rFonts w:ascii="仿宋" w:hAnsi="仿宋" w:eastAsia="仿宋" w:cs="仿宋"/>
          <w:sz w:val="24"/>
        </w:rPr>
      </w:pPr>
    </w:p>
    <w:p>
      <w:pPr>
        <w:pStyle w:val="61"/>
        <w:spacing w:line="360" w:lineRule="auto"/>
        <w:ind w:firstLine="480" w:firstLineChars="200"/>
        <w:rPr>
          <w:rFonts w:ascii="仿宋" w:hAnsi="仿宋" w:eastAsia="仿宋" w:cs="仿宋"/>
          <w:sz w:val="24"/>
        </w:rPr>
      </w:pPr>
    </w:p>
    <w:p>
      <w:pPr>
        <w:pStyle w:val="61"/>
        <w:spacing w:line="360" w:lineRule="auto"/>
        <w:ind w:firstLine="480" w:firstLineChars="200"/>
        <w:rPr>
          <w:rFonts w:ascii="仿宋" w:hAnsi="仿宋" w:eastAsia="仿宋" w:cs="仿宋"/>
          <w:sz w:val="24"/>
        </w:rPr>
      </w:pPr>
    </w:p>
    <w:p>
      <w:pPr>
        <w:pStyle w:val="61"/>
        <w:spacing w:line="360" w:lineRule="auto"/>
        <w:ind w:firstLine="480" w:firstLineChars="200"/>
        <w:jc w:val="center"/>
        <w:rPr>
          <w:rFonts w:ascii="仿宋" w:hAnsi="仿宋" w:eastAsia="仿宋" w:cs="仿宋"/>
          <w:sz w:val="24"/>
        </w:rPr>
      </w:pPr>
      <w:r>
        <w:rPr>
          <w:rFonts w:hint="eastAsia" w:ascii="仿宋" w:hAnsi="仿宋" w:eastAsia="仿宋" w:cs="仿宋"/>
          <w:sz w:val="24"/>
        </w:rPr>
        <w:t xml:space="preserve">               企业名称（盖章）： </w:t>
      </w:r>
    </w:p>
    <w:p>
      <w:pPr>
        <w:pStyle w:val="61"/>
        <w:spacing w:line="360" w:lineRule="auto"/>
        <w:ind w:firstLine="480" w:firstLineChars="200"/>
        <w:jc w:val="center"/>
        <w:rPr>
          <w:rFonts w:ascii="仿宋" w:hAnsi="仿宋" w:eastAsia="仿宋" w:cs="仿宋"/>
          <w:sz w:val="24"/>
        </w:rPr>
      </w:pPr>
      <w:r>
        <w:rPr>
          <w:rFonts w:hint="eastAsia" w:ascii="仿宋" w:hAnsi="仿宋" w:eastAsia="仿宋" w:cs="仿宋"/>
          <w:sz w:val="24"/>
        </w:rPr>
        <w:t xml:space="preserve">                         日期：</w:t>
      </w:r>
    </w:p>
    <w:p>
      <w:pPr>
        <w:pStyle w:val="61"/>
        <w:spacing w:line="400" w:lineRule="exact"/>
        <w:ind w:firstLine="4337" w:firstLineChars="1800"/>
        <w:rPr>
          <w:rFonts w:ascii="仿宋" w:hAnsi="仿宋" w:eastAsia="仿宋" w:cs="仿宋"/>
          <w:b/>
          <w:sz w:val="24"/>
        </w:rPr>
      </w:pPr>
    </w:p>
    <w:p>
      <w:pPr>
        <w:rPr>
          <w:rFonts w:ascii="仿宋" w:hAnsi="仿宋" w:eastAsia="仿宋" w:cs="仿宋"/>
          <w:sz w:val="24"/>
        </w:rPr>
      </w:pPr>
    </w:p>
    <w:p>
      <w:pPr>
        <w:rPr>
          <w:rFonts w:ascii="仿宋" w:hAnsi="仿宋" w:eastAsia="仿宋" w:cs="仿宋"/>
          <w:sz w:val="24"/>
        </w:rPr>
      </w:pPr>
    </w:p>
    <w:p>
      <w:pPr>
        <w:jc w:val="left"/>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注：从业人员、营业收入、资产总额填报上一年度数据，无上一年度数据的新成立企业可不填报。</w:t>
      </w:r>
    </w:p>
    <w:p>
      <w:pPr>
        <w:pStyle w:val="61"/>
        <w:snapToGrid w:val="0"/>
        <w:spacing w:line="400" w:lineRule="exact"/>
        <w:ind w:firstLine="504" w:firstLineChars="200"/>
        <w:jc w:val="center"/>
        <w:textAlignment w:val="baseline"/>
        <w:rPr>
          <w:rFonts w:ascii="仿宋" w:hAnsi="仿宋" w:eastAsia="仿宋" w:cs="仿宋"/>
          <w:spacing w:val="6"/>
          <w:sz w:val="24"/>
        </w:rPr>
      </w:pPr>
    </w:p>
    <w:p>
      <w:pPr>
        <w:snapToGrid w:val="0"/>
        <w:textAlignment w:val="baseline"/>
        <w:rPr>
          <w:rFonts w:ascii="仿宋" w:hAnsi="仿宋" w:eastAsia="仿宋" w:cs="仿宋"/>
          <w:sz w:val="32"/>
          <w:szCs w:val="32"/>
        </w:rPr>
      </w:pPr>
    </w:p>
    <w:p>
      <w:pPr>
        <w:snapToGrid w:val="0"/>
        <w:textAlignment w:val="baseline"/>
        <w:rPr>
          <w:rFonts w:ascii="仿宋" w:hAnsi="仿宋" w:eastAsia="仿宋" w:cs="仿宋"/>
          <w:sz w:val="32"/>
          <w:szCs w:val="32"/>
        </w:rPr>
      </w:pPr>
    </w:p>
    <w:p>
      <w:pPr>
        <w:snapToGrid w:val="0"/>
        <w:textAlignment w:val="baseline"/>
        <w:rPr>
          <w:rFonts w:ascii="仿宋" w:hAnsi="仿宋" w:eastAsia="仿宋" w:cs="仿宋"/>
          <w:sz w:val="32"/>
          <w:szCs w:val="32"/>
        </w:rPr>
      </w:pPr>
    </w:p>
    <w:p>
      <w:pPr>
        <w:snapToGrid w:val="0"/>
        <w:textAlignment w:val="baseline"/>
        <w:rPr>
          <w:rFonts w:ascii="仿宋" w:hAnsi="仿宋" w:eastAsia="仿宋" w:cs="仿宋"/>
          <w:sz w:val="32"/>
          <w:szCs w:val="32"/>
        </w:rPr>
      </w:pPr>
      <w:r>
        <w:rPr>
          <w:rFonts w:hint="eastAsia" w:ascii="仿宋" w:hAnsi="仿宋" w:eastAsia="仿宋" w:cs="仿宋"/>
          <w:sz w:val="32"/>
          <w:szCs w:val="32"/>
        </w:rPr>
        <w:br w:type="page"/>
      </w:r>
    </w:p>
    <w:p>
      <w:pPr>
        <w:pStyle w:val="4"/>
        <w:snapToGrid w:val="0"/>
        <w:spacing w:before="240" w:after="240"/>
        <w:ind w:firstLine="0" w:firstLineChars="0"/>
        <w:jc w:val="center"/>
        <w:textAlignment w:val="baseline"/>
        <w:rPr>
          <w:rFonts w:ascii="仿宋" w:hAnsi="仿宋" w:eastAsia="仿宋" w:cs="仿宋"/>
          <w:sz w:val="32"/>
          <w:szCs w:val="32"/>
        </w:rPr>
      </w:pPr>
      <w:bookmarkStart w:id="410" w:name="_Toc25445"/>
      <w:bookmarkStart w:id="411" w:name="_Toc12672"/>
      <w:bookmarkStart w:id="412" w:name="_Toc31503"/>
      <w:bookmarkStart w:id="413" w:name="_Toc14046"/>
      <w:bookmarkStart w:id="414" w:name="_Toc29207"/>
      <w:bookmarkStart w:id="415" w:name="_Toc16635"/>
      <w:bookmarkStart w:id="416" w:name="_Toc8300"/>
      <w:bookmarkStart w:id="417" w:name="_Toc27088"/>
      <w:r>
        <w:rPr>
          <w:rFonts w:hint="eastAsia" w:ascii="仿宋" w:hAnsi="仿宋" w:eastAsia="仿宋" w:cs="仿宋"/>
          <w:sz w:val="32"/>
          <w:szCs w:val="32"/>
        </w:rPr>
        <w:t>4、残疾人福利性单位声明函</w:t>
      </w:r>
      <w:bookmarkEnd w:id="410"/>
      <w:bookmarkEnd w:id="411"/>
      <w:bookmarkEnd w:id="412"/>
      <w:bookmarkEnd w:id="413"/>
      <w:bookmarkEnd w:id="414"/>
      <w:bookmarkEnd w:id="415"/>
      <w:bookmarkEnd w:id="416"/>
      <w:bookmarkEnd w:id="417"/>
    </w:p>
    <w:p>
      <w:pPr>
        <w:pStyle w:val="96"/>
        <w:snapToGrid w:val="0"/>
        <w:spacing w:before="0" w:beforeAutospacing="0" w:after="0" w:afterAutospacing="0" w:line="360" w:lineRule="auto"/>
        <w:jc w:val="center"/>
        <w:textAlignment w:val="baseline"/>
        <w:rPr>
          <w:rFonts w:ascii="仿宋" w:hAnsi="仿宋" w:eastAsia="仿宋" w:cs="仿宋"/>
          <w:bCs/>
          <w:spacing w:val="6"/>
          <w:sz w:val="36"/>
          <w:szCs w:val="36"/>
        </w:rPr>
      </w:pPr>
    </w:p>
    <w:p>
      <w:pPr>
        <w:pStyle w:val="96"/>
        <w:snapToGrid w:val="0"/>
        <w:spacing w:before="0" w:beforeAutospacing="0" w:after="0" w:afterAutospacing="0" w:line="360" w:lineRule="auto"/>
        <w:ind w:firstLine="601"/>
        <w:textAlignment w:val="baseline"/>
        <w:rPr>
          <w:rFonts w:ascii="仿宋" w:hAnsi="仿宋" w:eastAsia="仿宋" w:cs="仿宋"/>
          <w:kern w:val="2"/>
          <w:szCs w:val="24"/>
        </w:rPr>
      </w:pPr>
      <w:r>
        <w:rPr>
          <w:rFonts w:hint="eastAsia" w:ascii="仿宋" w:hAnsi="仿宋" w:eastAsia="仿宋" w:cs="仿宋"/>
          <w:kern w:val="2"/>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kern w:val="2"/>
          <w:szCs w:val="24"/>
          <w:u w:val="single" w:color="000000"/>
        </w:rPr>
        <w:t xml:space="preserve">    </w:t>
      </w:r>
      <w:r>
        <w:rPr>
          <w:rFonts w:hint="eastAsia" w:ascii="仿宋" w:hAnsi="仿宋" w:eastAsia="仿宋" w:cs="仿宋"/>
          <w:spacing w:val="6"/>
          <w:szCs w:val="24"/>
          <w:u w:val="single" w:color="000000"/>
        </w:rPr>
        <w:t>（标的名称）</w:t>
      </w:r>
      <w:r>
        <w:rPr>
          <w:rFonts w:hint="eastAsia" w:ascii="仿宋" w:hAnsi="仿宋" w:eastAsia="仿宋" w:cs="仿宋"/>
          <w:kern w:val="2"/>
          <w:szCs w:val="24"/>
          <w:u w:val="single" w:color="000000"/>
        </w:rPr>
        <w:t xml:space="preserve">     </w:t>
      </w:r>
      <w:r>
        <w:rPr>
          <w:rFonts w:hint="eastAsia" w:ascii="仿宋" w:hAnsi="仿宋" w:eastAsia="仿宋" w:cs="仿宋"/>
          <w:kern w:val="2"/>
          <w:szCs w:val="24"/>
        </w:rPr>
        <w:t>项目采购活动提供本单位制造的货物（由本单位承担工程/提供服务），或者提供其他残疾人福利性单位制造的货物（不包括使用非残疾人福利性单位注册商标的货物）。</w:t>
      </w:r>
    </w:p>
    <w:p>
      <w:pPr>
        <w:pStyle w:val="96"/>
        <w:snapToGrid w:val="0"/>
        <w:spacing w:before="0" w:beforeAutospacing="0" w:after="0" w:afterAutospacing="0" w:line="360" w:lineRule="auto"/>
        <w:ind w:firstLine="600"/>
        <w:textAlignment w:val="baseline"/>
        <w:rPr>
          <w:rFonts w:ascii="仿宋" w:hAnsi="仿宋" w:eastAsia="仿宋" w:cs="仿宋"/>
          <w:kern w:val="2"/>
          <w:szCs w:val="24"/>
        </w:rPr>
      </w:pPr>
      <w:r>
        <w:rPr>
          <w:rFonts w:hint="eastAsia" w:ascii="仿宋" w:hAnsi="仿宋" w:eastAsia="仿宋" w:cs="仿宋"/>
          <w:kern w:val="2"/>
          <w:szCs w:val="24"/>
        </w:rPr>
        <w:t>本单位对上述声明的真实性负责。如有虚假，将依法承担相应责任。</w:t>
      </w:r>
    </w:p>
    <w:p>
      <w:pPr>
        <w:pStyle w:val="96"/>
        <w:snapToGrid w:val="0"/>
        <w:spacing w:before="0" w:beforeAutospacing="0" w:after="0" w:afterAutospacing="0" w:line="360" w:lineRule="auto"/>
        <w:textAlignment w:val="baseline"/>
        <w:rPr>
          <w:rFonts w:ascii="仿宋" w:hAnsi="仿宋" w:eastAsia="仿宋" w:cs="仿宋"/>
          <w:spacing w:val="6"/>
          <w:szCs w:val="24"/>
        </w:rPr>
      </w:pPr>
    </w:p>
    <w:p>
      <w:pPr>
        <w:pStyle w:val="96"/>
        <w:snapToGrid w:val="0"/>
        <w:spacing w:before="0" w:beforeAutospacing="0" w:after="0" w:afterAutospacing="0" w:line="360" w:lineRule="auto"/>
        <w:textAlignment w:val="baseline"/>
        <w:rPr>
          <w:rFonts w:ascii="仿宋" w:hAnsi="仿宋" w:eastAsia="仿宋" w:cs="仿宋"/>
          <w:spacing w:val="6"/>
          <w:szCs w:val="24"/>
        </w:rPr>
      </w:pPr>
    </w:p>
    <w:p>
      <w:pPr>
        <w:pStyle w:val="96"/>
        <w:snapToGrid w:val="0"/>
        <w:spacing w:before="0" w:beforeAutospacing="0" w:after="0" w:afterAutospacing="0" w:line="360" w:lineRule="auto"/>
        <w:ind w:right="1560" w:firstLine="600"/>
        <w:jc w:val="right"/>
        <w:textAlignment w:val="baseline"/>
        <w:rPr>
          <w:rFonts w:ascii="仿宋" w:hAnsi="仿宋" w:eastAsia="仿宋" w:cs="仿宋"/>
          <w:kern w:val="2"/>
          <w:szCs w:val="24"/>
        </w:rPr>
      </w:pPr>
      <w:r>
        <w:rPr>
          <w:rFonts w:hint="eastAsia" w:ascii="仿宋" w:hAnsi="仿宋" w:eastAsia="仿宋" w:cs="仿宋"/>
          <w:kern w:val="2"/>
          <w:szCs w:val="24"/>
        </w:rPr>
        <w:t>单位名称（盖章）：</w:t>
      </w:r>
    </w:p>
    <w:p>
      <w:pPr>
        <w:snapToGrid w:val="0"/>
        <w:ind w:firstLine="5880" w:firstLineChars="2450"/>
        <w:textAlignment w:val="baseline"/>
        <w:rPr>
          <w:rFonts w:ascii="仿宋" w:hAnsi="仿宋" w:eastAsia="仿宋" w:cs="仿宋"/>
          <w:sz w:val="32"/>
          <w:szCs w:val="32"/>
        </w:rPr>
      </w:pPr>
      <w:r>
        <w:rPr>
          <w:rFonts w:hint="eastAsia" w:ascii="仿宋" w:hAnsi="仿宋" w:eastAsia="仿宋" w:cs="仿宋"/>
          <w:sz w:val="24"/>
          <w:szCs w:val="24"/>
        </w:rPr>
        <w:t xml:space="preserve">日  期：                      </w:t>
      </w:r>
      <w:r>
        <w:rPr>
          <w:rFonts w:hint="eastAsia" w:ascii="仿宋" w:hAnsi="仿宋" w:eastAsia="仿宋" w:cs="仿宋"/>
          <w:sz w:val="32"/>
          <w:szCs w:val="32"/>
        </w:rPr>
        <w:br w:type="page"/>
      </w:r>
    </w:p>
    <w:p>
      <w:pPr>
        <w:pStyle w:val="4"/>
        <w:snapToGrid w:val="0"/>
        <w:spacing w:before="240" w:after="240"/>
        <w:ind w:firstLine="0" w:firstLineChars="0"/>
        <w:jc w:val="center"/>
        <w:textAlignment w:val="baseline"/>
        <w:rPr>
          <w:rFonts w:ascii="仿宋" w:hAnsi="仿宋" w:eastAsia="仿宋" w:cs="仿宋"/>
          <w:sz w:val="32"/>
          <w:szCs w:val="32"/>
        </w:rPr>
      </w:pPr>
      <w:bookmarkStart w:id="418" w:name="_Toc13158"/>
      <w:bookmarkStart w:id="419" w:name="_Toc9183"/>
      <w:bookmarkStart w:id="420" w:name="_Toc7090"/>
      <w:bookmarkStart w:id="421" w:name="_Toc12280"/>
      <w:bookmarkStart w:id="422" w:name="_Toc7985"/>
      <w:bookmarkStart w:id="423" w:name="_Toc4133"/>
      <w:bookmarkStart w:id="424" w:name="_Toc30995"/>
      <w:bookmarkStart w:id="425" w:name="_Toc11835"/>
      <w:bookmarkStart w:id="426" w:name="_Toc6868"/>
      <w:r>
        <w:rPr>
          <w:rFonts w:hint="eastAsia" w:ascii="仿宋" w:hAnsi="仿宋" w:eastAsia="仿宋" w:cs="仿宋"/>
          <w:sz w:val="32"/>
          <w:szCs w:val="32"/>
        </w:rPr>
        <w:t>5、监狱企业证明</w:t>
      </w:r>
      <w:bookmarkEnd w:id="418"/>
      <w:bookmarkEnd w:id="419"/>
      <w:bookmarkEnd w:id="420"/>
      <w:bookmarkEnd w:id="421"/>
      <w:bookmarkEnd w:id="422"/>
      <w:bookmarkEnd w:id="423"/>
      <w:bookmarkEnd w:id="424"/>
      <w:bookmarkEnd w:id="425"/>
      <w:bookmarkEnd w:id="426"/>
    </w:p>
    <w:p>
      <w:pPr>
        <w:pStyle w:val="5"/>
        <w:snapToGrid w:val="0"/>
        <w:spacing w:line="360" w:lineRule="auto"/>
        <w:ind w:firstLine="0"/>
        <w:jc w:val="center"/>
        <w:textAlignment w:val="baseline"/>
        <w:rPr>
          <w:rFonts w:ascii="仿宋" w:hAnsi="仿宋" w:eastAsia="仿宋" w:cs="仿宋"/>
          <w:sz w:val="24"/>
          <w:szCs w:val="24"/>
        </w:rPr>
      </w:pPr>
    </w:p>
    <w:p>
      <w:pPr>
        <w:pStyle w:val="5"/>
        <w:snapToGrid w:val="0"/>
        <w:spacing w:line="360" w:lineRule="auto"/>
        <w:ind w:firstLine="482" w:firstLineChars="200"/>
        <w:jc w:val="left"/>
        <w:textAlignment w:val="baseline"/>
        <w:rPr>
          <w:rFonts w:ascii="仿宋" w:hAnsi="仿宋" w:eastAsia="仿宋" w:cs="仿宋"/>
          <w:sz w:val="24"/>
          <w:szCs w:val="24"/>
        </w:rPr>
      </w:pPr>
      <w:r>
        <w:rPr>
          <w:rFonts w:hint="eastAsia" w:ascii="仿宋" w:hAnsi="仿宋" w:eastAsia="仿宋" w:cs="仿宋"/>
          <w:b/>
          <w:sz w:val="24"/>
          <w:szCs w:val="24"/>
        </w:rPr>
        <w:t>注：</w:t>
      </w:r>
      <w:r>
        <w:rPr>
          <w:rFonts w:hint="eastAsia" w:ascii="仿宋" w:hAnsi="仿宋" w:eastAsia="仿宋" w:cs="仿宋"/>
          <w:sz w:val="24"/>
          <w:szCs w:val="24"/>
        </w:rPr>
        <w:t>须提供省级以上监狱管理局、戒毒管理局（含新疆生产建设兵团）出具的属于监狱企业的证明文件</w:t>
      </w:r>
    </w:p>
    <w:p>
      <w:pPr>
        <w:pStyle w:val="21"/>
        <w:snapToGrid w:val="0"/>
        <w:rPr>
          <w:rFonts w:ascii="仿宋" w:hAnsi="仿宋" w:eastAsia="仿宋" w:cs="仿宋"/>
        </w:rPr>
      </w:pPr>
    </w:p>
    <w:p>
      <w:pPr>
        <w:snapToGrid w:val="0"/>
        <w:textAlignment w:val="baseline"/>
        <w:rPr>
          <w:rFonts w:ascii="仿宋" w:hAnsi="仿宋" w:eastAsia="仿宋" w:cs="仿宋"/>
          <w:sz w:val="32"/>
          <w:szCs w:val="32"/>
        </w:rPr>
      </w:pPr>
      <w:r>
        <w:rPr>
          <w:rFonts w:hint="eastAsia" w:ascii="仿宋" w:hAnsi="仿宋" w:eastAsia="仿宋" w:cs="仿宋"/>
          <w:sz w:val="32"/>
          <w:szCs w:val="32"/>
        </w:rPr>
        <w:br w:type="page"/>
      </w:r>
    </w:p>
    <w:p>
      <w:pPr>
        <w:pStyle w:val="4"/>
        <w:snapToGrid w:val="0"/>
        <w:spacing w:before="240" w:after="240"/>
        <w:ind w:firstLine="0" w:firstLineChars="0"/>
        <w:jc w:val="center"/>
        <w:textAlignment w:val="baseline"/>
        <w:rPr>
          <w:rFonts w:ascii="仿宋" w:hAnsi="仿宋" w:eastAsia="仿宋" w:cs="仿宋"/>
          <w:sz w:val="32"/>
          <w:szCs w:val="32"/>
        </w:rPr>
      </w:pPr>
      <w:bookmarkStart w:id="427" w:name="_Toc31038"/>
      <w:bookmarkStart w:id="428" w:name="_Toc16041"/>
      <w:bookmarkStart w:id="429" w:name="_Toc37"/>
      <w:bookmarkStart w:id="430" w:name="_Toc1449"/>
      <w:bookmarkStart w:id="431" w:name="_Toc28786"/>
      <w:bookmarkStart w:id="432" w:name="_Toc3543"/>
      <w:bookmarkStart w:id="433" w:name="_Toc2479"/>
      <w:bookmarkStart w:id="434" w:name="_Toc5809"/>
      <w:r>
        <w:rPr>
          <w:rFonts w:hint="eastAsia" w:ascii="仿宋" w:hAnsi="仿宋" w:eastAsia="仿宋" w:cs="仿宋"/>
          <w:sz w:val="32"/>
          <w:szCs w:val="32"/>
        </w:rPr>
        <w:t>6、商务响应表</w:t>
      </w:r>
      <w:bookmarkEnd w:id="409"/>
      <w:bookmarkEnd w:id="427"/>
      <w:bookmarkEnd w:id="428"/>
      <w:bookmarkEnd w:id="429"/>
      <w:bookmarkEnd w:id="430"/>
      <w:bookmarkEnd w:id="431"/>
      <w:bookmarkEnd w:id="432"/>
      <w:bookmarkEnd w:id="433"/>
      <w:bookmarkEnd w:id="434"/>
    </w:p>
    <w:p>
      <w:pPr>
        <w:pStyle w:val="62"/>
        <w:spacing w:line="560" w:lineRule="exact"/>
        <w:rPr>
          <w:rFonts w:ascii="仿宋" w:hAnsi="仿宋" w:eastAsia="仿宋" w:cs="仿宋"/>
          <w:sz w:val="24"/>
          <w:szCs w:val="24"/>
        </w:rPr>
      </w:pPr>
      <w:r>
        <w:rPr>
          <w:rFonts w:hint="eastAsia" w:ascii="仿宋" w:hAnsi="仿宋" w:eastAsia="仿宋" w:cs="仿宋"/>
          <w:sz w:val="24"/>
          <w:szCs w:val="24"/>
        </w:rPr>
        <w:t xml:space="preserve">采购编号：       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序号</w:t>
            </w:r>
          </w:p>
        </w:tc>
        <w:tc>
          <w:tcPr>
            <w:tcW w:w="1927"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类别</w:t>
            </w:r>
          </w:p>
        </w:tc>
        <w:tc>
          <w:tcPr>
            <w:tcW w:w="2546"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招标文件要求</w:t>
            </w:r>
          </w:p>
        </w:tc>
        <w:tc>
          <w:tcPr>
            <w:tcW w:w="2694"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投标人承诺</w:t>
            </w:r>
          </w:p>
        </w:tc>
        <w:tc>
          <w:tcPr>
            <w:tcW w:w="1275"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1</w:t>
            </w:r>
          </w:p>
        </w:tc>
        <w:tc>
          <w:tcPr>
            <w:tcW w:w="1927" w:type="dxa"/>
            <w:vAlign w:val="center"/>
          </w:tcPr>
          <w:p>
            <w:pPr>
              <w:pStyle w:val="62"/>
              <w:jc w:val="center"/>
              <w:rPr>
                <w:rFonts w:ascii="仿宋" w:hAnsi="仿宋" w:eastAsia="仿宋" w:cs="仿宋"/>
                <w:sz w:val="24"/>
                <w:szCs w:val="24"/>
              </w:rPr>
            </w:pPr>
            <w:r>
              <w:rPr>
                <w:rFonts w:hint="eastAsia" w:ascii="仿宋" w:hAnsi="仿宋" w:eastAsia="仿宋" w:cs="仿宋"/>
                <w:sz w:val="24"/>
              </w:rPr>
              <w:t>服务承诺</w:t>
            </w:r>
          </w:p>
        </w:tc>
        <w:tc>
          <w:tcPr>
            <w:tcW w:w="2546" w:type="dxa"/>
            <w:vAlign w:val="center"/>
          </w:tcPr>
          <w:p>
            <w:pPr>
              <w:pStyle w:val="62"/>
              <w:jc w:val="center"/>
              <w:rPr>
                <w:rFonts w:ascii="仿宋" w:hAnsi="仿宋" w:eastAsia="仿宋" w:cs="仿宋"/>
                <w:sz w:val="24"/>
                <w:szCs w:val="24"/>
              </w:rPr>
            </w:pPr>
          </w:p>
        </w:tc>
        <w:tc>
          <w:tcPr>
            <w:tcW w:w="2694" w:type="dxa"/>
            <w:vAlign w:val="center"/>
          </w:tcPr>
          <w:p>
            <w:pPr>
              <w:pStyle w:val="62"/>
              <w:jc w:val="center"/>
              <w:rPr>
                <w:rFonts w:ascii="仿宋" w:hAnsi="仿宋" w:eastAsia="仿宋" w:cs="仿宋"/>
                <w:sz w:val="24"/>
                <w:szCs w:val="24"/>
              </w:rPr>
            </w:pPr>
          </w:p>
        </w:tc>
        <w:tc>
          <w:tcPr>
            <w:tcW w:w="1275" w:type="dxa"/>
            <w:vAlign w:val="center"/>
          </w:tcPr>
          <w:p>
            <w:pPr>
              <w:pStyle w:val="62"/>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2</w:t>
            </w:r>
          </w:p>
        </w:tc>
        <w:tc>
          <w:tcPr>
            <w:tcW w:w="1927" w:type="dxa"/>
            <w:vAlign w:val="center"/>
          </w:tcPr>
          <w:p>
            <w:pPr>
              <w:pStyle w:val="62"/>
              <w:jc w:val="center"/>
              <w:rPr>
                <w:rFonts w:ascii="仿宋" w:hAnsi="仿宋" w:eastAsia="仿宋" w:cs="仿宋"/>
                <w:sz w:val="24"/>
                <w:szCs w:val="24"/>
              </w:rPr>
            </w:pPr>
            <w:r>
              <w:rPr>
                <w:rFonts w:hint="eastAsia" w:ascii="仿宋" w:hAnsi="仿宋" w:eastAsia="仿宋" w:cs="仿宋"/>
                <w:sz w:val="24"/>
              </w:rPr>
              <w:t>服务时间</w:t>
            </w:r>
          </w:p>
        </w:tc>
        <w:tc>
          <w:tcPr>
            <w:tcW w:w="2546" w:type="dxa"/>
            <w:vAlign w:val="center"/>
          </w:tcPr>
          <w:p>
            <w:pPr>
              <w:pStyle w:val="62"/>
              <w:jc w:val="center"/>
              <w:rPr>
                <w:rFonts w:ascii="仿宋" w:hAnsi="仿宋" w:eastAsia="仿宋" w:cs="仿宋"/>
                <w:sz w:val="24"/>
                <w:szCs w:val="24"/>
              </w:rPr>
            </w:pPr>
          </w:p>
        </w:tc>
        <w:tc>
          <w:tcPr>
            <w:tcW w:w="2694" w:type="dxa"/>
            <w:vAlign w:val="center"/>
          </w:tcPr>
          <w:p>
            <w:pPr>
              <w:pStyle w:val="62"/>
              <w:jc w:val="center"/>
              <w:rPr>
                <w:rFonts w:ascii="仿宋" w:hAnsi="仿宋" w:eastAsia="仿宋" w:cs="仿宋"/>
                <w:sz w:val="24"/>
                <w:szCs w:val="24"/>
              </w:rPr>
            </w:pPr>
          </w:p>
        </w:tc>
        <w:tc>
          <w:tcPr>
            <w:tcW w:w="1275" w:type="dxa"/>
            <w:vAlign w:val="center"/>
          </w:tcPr>
          <w:p>
            <w:pPr>
              <w:pStyle w:val="62"/>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3</w:t>
            </w:r>
          </w:p>
        </w:tc>
        <w:tc>
          <w:tcPr>
            <w:tcW w:w="1927" w:type="dxa"/>
            <w:vAlign w:val="center"/>
          </w:tcPr>
          <w:p>
            <w:pPr>
              <w:pStyle w:val="62"/>
              <w:jc w:val="center"/>
              <w:rPr>
                <w:rFonts w:ascii="仿宋" w:hAnsi="仿宋" w:eastAsia="仿宋" w:cs="仿宋"/>
                <w:sz w:val="24"/>
                <w:szCs w:val="24"/>
              </w:rPr>
            </w:pPr>
            <w:r>
              <w:rPr>
                <w:rFonts w:hint="eastAsia" w:ascii="仿宋" w:hAnsi="仿宋" w:eastAsia="仿宋" w:cs="仿宋"/>
                <w:sz w:val="24"/>
              </w:rPr>
              <w:t>付款方式</w:t>
            </w:r>
          </w:p>
        </w:tc>
        <w:tc>
          <w:tcPr>
            <w:tcW w:w="2546" w:type="dxa"/>
            <w:vAlign w:val="center"/>
          </w:tcPr>
          <w:p>
            <w:pPr>
              <w:pStyle w:val="62"/>
              <w:jc w:val="center"/>
              <w:rPr>
                <w:rFonts w:ascii="仿宋" w:hAnsi="仿宋" w:eastAsia="仿宋" w:cs="仿宋"/>
                <w:sz w:val="24"/>
                <w:szCs w:val="24"/>
              </w:rPr>
            </w:pPr>
          </w:p>
        </w:tc>
        <w:tc>
          <w:tcPr>
            <w:tcW w:w="2694" w:type="dxa"/>
            <w:vAlign w:val="center"/>
          </w:tcPr>
          <w:p>
            <w:pPr>
              <w:pStyle w:val="62"/>
              <w:jc w:val="center"/>
              <w:rPr>
                <w:rFonts w:ascii="仿宋" w:hAnsi="仿宋" w:eastAsia="仿宋" w:cs="仿宋"/>
                <w:sz w:val="24"/>
                <w:szCs w:val="24"/>
              </w:rPr>
            </w:pPr>
          </w:p>
        </w:tc>
        <w:tc>
          <w:tcPr>
            <w:tcW w:w="1275" w:type="dxa"/>
            <w:vAlign w:val="center"/>
          </w:tcPr>
          <w:p>
            <w:pPr>
              <w:pStyle w:val="62"/>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4</w:t>
            </w:r>
          </w:p>
        </w:tc>
        <w:tc>
          <w:tcPr>
            <w:tcW w:w="1927" w:type="dxa"/>
            <w:vAlign w:val="center"/>
          </w:tcPr>
          <w:p>
            <w:pPr>
              <w:pStyle w:val="62"/>
              <w:jc w:val="center"/>
              <w:rPr>
                <w:rFonts w:ascii="仿宋" w:hAnsi="仿宋" w:eastAsia="仿宋" w:cs="仿宋"/>
                <w:sz w:val="24"/>
                <w:szCs w:val="24"/>
              </w:rPr>
            </w:pPr>
            <w:r>
              <w:rPr>
                <w:rFonts w:hint="eastAsia" w:ascii="仿宋" w:hAnsi="仿宋" w:eastAsia="仿宋" w:cs="仿宋"/>
                <w:sz w:val="24"/>
                <w:szCs w:val="24"/>
              </w:rPr>
              <w:t>……</w:t>
            </w:r>
          </w:p>
        </w:tc>
        <w:tc>
          <w:tcPr>
            <w:tcW w:w="2546" w:type="dxa"/>
            <w:vAlign w:val="center"/>
          </w:tcPr>
          <w:p>
            <w:pPr>
              <w:pStyle w:val="62"/>
              <w:jc w:val="center"/>
              <w:rPr>
                <w:rFonts w:ascii="仿宋" w:hAnsi="仿宋" w:eastAsia="仿宋" w:cs="仿宋"/>
                <w:sz w:val="24"/>
                <w:szCs w:val="24"/>
              </w:rPr>
            </w:pPr>
          </w:p>
        </w:tc>
        <w:tc>
          <w:tcPr>
            <w:tcW w:w="2694" w:type="dxa"/>
            <w:vAlign w:val="center"/>
          </w:tcPr>
          <w:p>
            <w:pPr>
              <w:pStyle w:val="62"/>
              <w:jc w:val="center"/>
              <w:rPr>
                <w:rFonts w:ascii="仿宋" w:hAnsi="仿宋" w:eastAsia="仿宋" w:cs="仿宋"/>
                <w:sz w:val="24"/>
                <w:szCs w:val="24"/>
              </w:rPr>
            </w:pPr>
          </w:p>
        </w:tc>
        <w:tc>
          <w:tcPr>
            <w:tcW w:w="1275" w:type="dxa"/>
            <w:vAlign w:val="center"/>
          </w:tcPr>
          <w:p>
            <w:pPr>
              <w:pStyle w:val="62"/>
              <w:jc w:val="center"/>
              <w:rPr>
                <w:rFonts w:ascii="仿宋" w:hAnsi="仿宋" w:eastAsia="仿宋" w:cs="仿宋"/>
                <w:sz w:val="24"/>
                <w:szCs w:val="24"/>
              </w:rPr>
            </w:pPr>
          </w:p>
        </w:tc>
      </w:tr>
    </w:tbl>
    <w:p>
      <w:pPr>
        <w:snapToGrid w:val="0"/>
        <w:spacing w:line="360" w:lineRule="auto"/>
        <w:jc w:val="left"/>
        <w:textAlignment w:val="baseline"/>
        <w:rPr>
          <w:rFonts w:ascii="仿宋" w:hAnsi="仿宋" w:eastAsia="仿宋" w:cs="仿宋"/>
          <w:spacing w:val="20"/>
          <w:sz w:val="24"/>
          <w:szCs w:val="24"/>
        </w:rPr>
      </w:pPr>
    </w:p>
    <w:p>
      <w:pPr>
        <w:pStyle w:val="23"/>
        <w:spacing w:before="120"/>
      </w:pPr>
    </w:p>
    <w:p>
      <w:pPr>
        <w:snapToGrid w:val="0"/>
        <w:spacing w:line="360" w:lineRule="auto"/>
        <w:ind w:firstLine="3780" w:firstLineChars="135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负责人（或被委托人）签字或盖章：</w:t>
      </w:r>
    </w:p>
    <w:p>
      <w:pPr>
        <w:snapToGrid w:val="0"/>
        <w:spacing w:line="360" w:lineRule="auto"/>
        <w:ind w:firstLine="3920" w:firstLineChars="14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58"/>
        <w:snapToGrid w:val="0"/>
        <w:spacing w:line="360" w:lineRule="auto"/>
        <w:ind w:firstLine="4480" w:firstLineChars="1600"/>
        <w:textAlignment w:val="baseline"/>
        <w:rPr>
          <w:rFonts w:ascii="仿宋" w:hAnsi="仿宋" w:eastAsia="仿宋" w:cs="仿宋"/>
          <w:spacing w:val="20"/>
          <w:sz w:val="24"/>
          <w:szCs w:val="24"/>
          <w:u w:val="single"/>
        </w:rPr>
      </w:pPr>
      <w:r>
        <w:rPr>
          <w:rFonts w:hint="eastAsia" w:ascii="仿宋" w:hAnsi="仿宋" w:eastAsia="仿宋" w:cs="仿宋"/>
          <w:spacing w:val="20"/>
          <w:sz w:val="24"/>
          <w:szCs w:val="24"/>
        </w:rPr>
        <w:t>日期：</w:t>
      </w:r>
    </w:p>
    <w:p>
      <w:pPr>
        <w:pStyle w:val="4"/>
        <w:snapToGrid w:val="0"/>
        <w:spacing w:before="240" w:after="240"/>
        <w:ind w:firstLine="0" w:firstLineChars="0"/>
        <w:jc w:val="center"/>
        <w:textAlignment w:val="baseline"/>
        <w:rPr>
          <w:rFonts w:ascii="仿宋" w:hAnsi="仿宋" w:eastAsia="仿宋" w:cs="仿宋"/>
          <w:sz w:val="32"/>
          <w:szCs w:val="32"/>
        </w:rPr>
        <w:sectPr>
          <w:pgSz w:w="11906" w:h="16838"/>
          <w:pgMar w:top="1440" w:right="1758" w:bottom="1440" w:left="1758" w:header="851" w:footer="851" w:gutter="0"/>
          <w:cols w:space="720" w:num="1"/>
          <w:docGrid w:linePitch="312" w:charSpace="0"/>
        </w:sectPr>
      </w:pPr>
    </w:p>
    <w:p>
      <w:pPr>
        <w:pStyle w:val="4"/>
        <w:spacing w:before="240" w:after="240"/>
        <w:ind w:firstLine="0" w:firstLineChars="0"/>
        <w:jc w:val="center"/>
        <w:rPr>
          <w:rFonts w:ascii="仿宋" w:hAnsi="仿宋" w:eastAsia="仿宋"/>
        </w:rPr>
      </w:pPr>
      <w:bookmarkStart w:id="435" w:name="_Toc1419"/>
      <w:bookmarkStart w:id="436" w:name="_Toc21043"/>
      <w:bookmarkStart w:id="437" w:name="_Toc12976"/>
      <w:bookmarkStart w:id="438" w:name="_Toc27442"/>
      <w:bookmarkStart w:id="439" w:name="_Toc28531"/>
      <w:bookmarkStart w:id="440" w:name="_Toc9204"/>
      <w:bookmarkStart w:id="441" w:name="_Toc29282"/>
      <w:bookmarkStart w:id="442" w:name="_Toc14230"/>
      <w:bookmarkStart w:id="443" w:name="_Toc25712"/>
      <w:bookmarkStart w:id="444" w:name="_Toc493956071"/>
      <w:r>
        <w:rPr>
          <w:rFonts w:hint="eastAsia" w:ascii="仿宋" w:hAnsi="仿宋" w:eastAsia="仿宋"/>
        </w:rPr>
        <w:t>7、项目技术方案</w:t>
      </w:r>
      <w:bookmarkEnd w:id="435"/>
      <w:bookmarkEnd w:id="436"/>
      <w:bookmarkEnd w:id="437"/>
      <w:bookmarkEnd w:id="438"/>
      <w:bookmarkEnd w:id="439"/>
      <w:bookmarkEnd w:id="440"/>
      <w:bookmarkEnd w:id="441"/>
      <w:bookmarkEnd w:id="442"/>
      <w:bookmarkEnd w:id="443"/>
    </w:p>
    <w:p>
      <w:pPr>
        <w:jc w:val="center"/>
        <w:rPr>
          <w:rFonts w:ascii="仿宋" w:hAnsi="仿宋" w:eastAsia="仿宋" w:cs="仿宋"/>
          <w:b/>
          <w:sz w:val="32"/>
        </w:rPr>
      </w:pPr>
    </w:p>
    <w:p>
      <w:pPr>
        <w:pStyle w:val="69"/>
        <w:spacing w:line="360" w:lineRule="auto"/>
        <w:rPr>
          <w:rFonts w:ascii="仿宋" w:hAnsi="仿宋" w:eastAsia="仿宋"/>
          <w:sz w:val="24"/>
          <w:szCs w:val="24"/>
        </w:rPr>
      </w:pPr>
      <w:r>
        <w:rPr>
          <w:rFonts w:hint="eastAsia" w:ascii="仿宋" w:hAnsi="仿宋" w:eastAsia="仿宋" w:cs="仿宋"/>
          <w:sz w:val="24"/>
          <w:szCs w:val="24"/>
        </w:rPr>
        <w:t>内容要求：</w:t>
      </w:r>
    </w:p>
    <w:p>
      <w:pPr>
        <w:pStyle w:val="69"/>
        <w:spacing w:line="360" w:lineRule="auto"/>
        <w:ind w:firstLine="480" w:firstLineChars="200"/>
        <w:rPr>
          <w:rFonts w:ascii="仿宋" w:hAnsi="仿宋" w:eastAsia="仿宋"/>
          <w:sz w:val="24"/>
          <w:szCs w:val="24"/>
        </w:rPr>
      </w:pPr>
      <w:r>
        <w:rPr>
          <w:rFonts w:hint="eastAsia" w:ascii="仿宋" w:hAnsi="仿宋" w:eastAsia="仿宋" w:cs="仿宋"/>
          <w:sz w:val="24"/>
          <w:szCs w:val="24"/>
        </w:rPr>
        <w:t>投标人须针对技术部分中有关章节的需求逐个作出实质性的响应，请按技术需求内容的顺序进行详细描述。</w:t>
      </w: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28"/>
        </w:rPr>
      </w:pPr>
    </w:p>
    <w:p>
      <w:pPr>
        <w:pStyle w:val="5"/>
        <w:ind w:firstLine="0"/>
        <w:rPr>
          <w:rFonts w:ascii="仿宋" w:hAnsi="仿宋" w:eastAsia="仿宋" w:cs="仿宋"/>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pStyle w:val="4"/>
        <w:spacing w:before="240" w:after="240"/>
        <w:ind w:firstLine="0" w:firstLineChars="0"/>
        <w:jc w:val="center"/>
        <w:rPr>
          <w:rFonts w:ascii="仿宋" w:hAnsi="仿宋" w:eastAsia="仿宋"/>
        </w:rPr>
      </w:pPr>
      <w:bookmarkStart w:id="445" w:name="_Toc12604"/>
      <w:bookmarkStart w:id="446" w:name="_Toc11575"/>
      <w:bookmarkStart w:id="447" w:name="_Toc480"/>
      <w:bookmarkStart w:id="448" w:name="_Toc21258"/>
      <w:bookmarkStart w:id="449" w:name="_Toc3631"/>
      <w:bookmarkStart w:id="450" w:name="_Toc10114"/>
      <w:bookmarkStart w:id="451" w:name="_Toc30140"/>
      <w:bookmarkStart w:id="452" w:name="_Toc12428"/>
      <w:bookmarkStart w:id="453" w:name="_Toc3501"/>
      <w:r>
        <w:rPr>
          <w:rFonts w:hint="eastAsia" w:ascii="仿宋" w:hAnsi="仿宋" w:eastAsia="仿宋"/>
        </w:rPr>
        <w:t>8、技术参数规格偏离表</w:t>
      </w:r>
      <w:bookmarkEnd w:id="445"/>
      <w:bookmarkEnd w:id="446"/>
      <w:bookmarkEnd w:id="447"/>
      <w:bookmarkEnd w:id="448"/>
      <w:bookmarkEnd w:id="449"/>
      <w:bookmarkEnd w:id="450"/>
      <w:bookmarkEnd w:id="451"/>
      <w:bookmarkEnd w:id="452"/>
      <w:bookmarkEnd w:id="453"/>
    </w:p>
    <w:p>
      <w:pPr>
        <w:spacing w:line="360" w:lineRule="auto"/>
        <w:rPr>
          <w:rFonts w:ascii="仿宋" w:hAnsi="仿宋" w:eastAsia="仿宋" w:cs="仿宋"/>
          <w:sz w:val="24"/>
        </w:rPr>
      </w:pPr>
      <w:r>
        <w:rPr>
          <w:rFonts w:hint="eastAsia" w:ascii="仿宋" w:hAnsi="仿宋" w:eastAsia="仿宋" w:cs="仿宋"/>
          <w:sz w:val="24"/>
        </w:rPr>
        <w:t>采购项目：</w:t>
      </w:r>
    </w:p>
    <w:p>
      <w:pPr>
        <w:tabs>
          <w:tab w:val="left" w:pos="1418"/>
        </w:tabs>
        <w:spacing w:line="360" w:lineRule="auto"/>
        <w:rPr>
          <w:rFonts w:ascii="仿宋" w:hAnsi="仿宋" w:eastAsia="仿宋" w:cs="仿宋"/>
          <w:sz w:val="24"/>
          <w:szCs w:val="28"/>
        </w:rPr>
      </w:pPr>
      <w:r>
        <w:rPr>
          <w:rFonts w:hint="eastAsia" w:ascii="仿宋" w:hAnsi="仿宋" w:eastAsia="仿宋" w:cs="仿宋"/>
          <w:sz w:val="24"/>
        </w:rPr>
        <w:t>采购编号</w:t>
      </w:r>
      <w:r>
        <w:rPr>
          <w:rFonts w:hint="eastAsia" w:ascii="仿宋" w:hAnsi="仿宋" w:eastAsia="仿宋" w:cs="仿宋"/>
          <w:sz w:val="24"/>
          <w:szCs w:val="28"/>
        </w:rPr>
        <w:t>：</w:t>
      </w:r>
    </w:p>
    <w:tbl>
      <w:tblPr>
        <w:tblStyle w:val="24"/>
        <w:tblW w:w="94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8"/>
        <w:gridCol w:w="708"/>
        <w:gridCol w:w="1706"/>
        <w:gridCol w:w="1800"/>
        <w:gridCol w:w="1440"/>
        <w:gridCol w:w="1995"/>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restart"/>
            <w:tcBorders>
              <w:top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技</w:t>
            </w:r>
          </w:p>
          <w:p>
            <w:pPr>
              <w:adjustRightInd w:val="0"/>
              <w:snapToGrid w:val="0"/>
              <w:jc w:val="center"/>
              <w:rPr>
                <w:rFonts w:ascii="仿宋" w:hAnsi="仿宋" w:eastAsia="仿宋" w:cs="仿宋"/>
                <w:sz w:val="24"/>
                <w:szCs w:val="28"/>
              </w:rPr>
            </w:pPr>
            <w:r>
              <w:rPr>
                <w:rFonts w:hint="eastAsia" w:ascii="仿宋" w:hAnsi="仿宋" w:eastAsia="仿宋" w:cs="仿宋"/>
                <w:sz w:val="24"/>
                <w:szCs w:val="28"/>
              </w:rPr>
              <w:t>术</w:t>
            </w:r>
          </w:p>
          <w:p>
            <w:pPr>
              <w:adjustRightInd w:val="0"/>
              <w:snapToGrid w:val="0"/>
              <w:jc w:val="center"/>
              <w:rPr>
                <w:rFonts w:ascii="仿宋" w:hAnsi="仿宋" w:eastAsia="仿宋" w:cs="仿宋"/>
                <w:sz w:val="24"/>
                <w:szCs w:val="28"/>
              </w:rPr>
            </w:pPr>
            <w:r>
              <w:rPr>
                <w:rFonts w:hint="eastAsia" w:ascii="仿宋" w:hAnsi="仿宋" w:eastAsia="仿宋" w:cs="仿宋"/>
                <w:sz w:val="24"/>
                <w:szCs w:val="28"/>
              </w:rPr>
              <w:t>要</w:t>
            </w:r>
          </w:p>
          <w:p>
            <w:pPr>
              <w:adjustRightInd w:val="0"/>
              <w:snapToGrid w:val="0"/>
              <w:jc w:val="center"/>
              <w:rPr>
                <w:rFonts w:ascii="仿宋" w:hAnsi="仿宋" w:eastAsia="仿宋" w:cs="仿宋"/>
                <w:sz w:val="24"/>
                <w:szCs w:val="28"/>
              </w:rPr>
            </w:pPr>
            <w:r>
              <w:rPr>
                <w:rFonts w:hint="eastAsia" w:ascii="仿宋" w:hAnsi="仿宋" w:eastAsia="仿宋" w:cs="仿宋"/>
                <w:sz w:val="24"/>
                <w:szCs w:val="28"/>
              </w:rPr>
              <w:t>求</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序号</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招标文件要求</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投标响应情况</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jc w:val="center"/>
              <w:rPr>
                <w:rFonts w:ascii="仿宋" w:hAnsi="仿宋" w:eastAsia="仿宋" w:cs="仿宋"/>
                <w:sz w:val="24"/>
                <w:szCs w:val="28"/>
              </w:rPr>
            </w:pPr>
            <w:r>
              <w:rPr>
                <w:rFonts w:hint="eastAsia" w:ascii="仿宋" w:hAnsi="仿宋" w:eastAsia="仿宋" w:cs="仿宋"/>
                <w:sz w:val="24"/>
                <w:szCs w:val="28"/>
              </w:rPr>
              <w:t>是否响应</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8"/>
              </w:rPr>
            </w:pPr>
            <w:r>
              <w:rPr>
                <w:rFonts w:hint="eastAsia" w:ascii="仿宋" w:hAnsi="仿宋" w:eastAsia="仿宋" w:cs="仿宋"/>
                <w:sz w:val="24"/>
                <w:szCs w:val="28"/>
              </w:rPr>
              <w:t>正偏离或负偏离</w:t>
            </w:r>
          </w:p>
        </w:tc>
        <w:tc>
          <w:tcPr>
            <w:tcW w:w="1190" w:type="dxa"/>
            <w:tcBorders>
              <w:top w:val="single" w:color="auto" w:sz="4" w:space="0"/>
              <w:left w:val="single" w:color="auto" w:sz="4" w:space="0"/>
              <w:bottom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right w:val="single" w:color="auto" w:sz="4" w:space="0"/>
            </w:tcBorders>
            <w:vAlign w:val="center"/>
          </w:tcPr>
          <w:p>
            <w:pPr>
              <w:adjustRightInd w:val="0"/>
              <w:snapToGrid w:val="0"/>
              <w:jc w:val="center"/>
              <w:rPr>
                <w:rFonts w:ascii="仿宋" w:hAnsi="仿宋" w:eastAsia="仿宋" w:cs="仿宋"/>
                <w:sz w:val="24"/>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ascii="仿宋" w:hAnsi="仿宋" w:eastAsia="仿宋" w:cs="仿宋"/>
                <w:sz w:val="24"/>
                <w:szCs w:val="28"/>
              </w:rPr>
              <w:t>1</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190" w:type="dxa"/>
            <w:tcBorders>
              <w:top w:val="single" w:color="auto" w:sz="4" w:space="0"/>
              <w:left w:val="single" w:color="auto" w:sz="4" w:space="0"/>
              <w:bottom w:val="single" w:color="auto" w:sz="4" w:space="0"/>
            </w:tcBorders>
            <w:vAlign w:val="center"/>
          </w:tcPr>
          <w:p>
            <w:pPr>
              <w:adjustRightInd w:val="0"/>
              <w:snapToGrid w:val="0"/>
              <w:jc w:val="center"/>
              <w:rPr>
                <w:rFonts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right w:val="single" w:color="auto" w:sz="4" w:space="0"/>
            </w:tcBorders>
            <w:vAlign w:val="center"/>
          </w:tcPr>
          <w:p>
            <w:pPr>
              <w:adjustRightInd w:val="0"/>
              <w:snapToGrid w:val="0"/>
              <w:jc w:val="center"/>
              <w:rPr>
                <w:rFonts w:ascii="仿宋" w:hAnsi="仿宋" w:eastAsia="仿宋" w:cs="仿宋"/>
                <w:sz w:val="24"/>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ascii="仿宋" w:hAnsi="仿宋" w:eastAsia="仿宋" w:cs="仿宋"/>
                <w:sz w:val="24"/>
                <w:szCs w:val="28"/>
              </w:rPr>
              <w:t>2</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190" w:type="dxa"/>
            <w:tcBorders>
              <w:top w:val="single" w:color="auto" w:sz="4" w:space="0"/>
              <w:left w:val="single" w:color="auto" w:sz="4" w:space="0"/>
              <w:bottom w:val="single" w:color="auto" w:sz="4" w:space="0"/>
            </w:tcBorders>
            <w:vAlign w:val="center"/>
          </w:tcPr>
          <w:p>
            <w:pPr>
              <w:adjustRightInd w:val="0"/>
              <w:snapToGrid w:val="0"/>
              <w:jc w:val="center"/>
              <w:rPr>
                <w:rFonts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bottom w:val="single" w:color="auto" w:sz="4" w:space="0"/>
              <w:right w:val="single" w:color="auto" w:sz="4" w:space="0"/>
            </w:tcBorders>
            <w:vAlign w:val="center"/>
          </w:tcPr>
          <w:p>
            <w:pPr>
              <w:jc w:val="center"/>
              <w:rPr>
                <w:rFonts w:ascii="仿宋" w:hAnsi="仿宋" w:eastAsia="仿宋" w:cs="仿宋"/>
                <w:sz w:val="24"/>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r>
              <w:rPr>
                <w:rFonts w:hint="eastAsia" w:ascii="仿宋" w:hAnsi="仿宋" w:eastAsia="仿宋" w:cs="仿宋"/>
                <w:sz w:val="24"/>
                <w:szCs w:val="28"/>
              </w:rPr>
              <w:t>…</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8"/>
              </w:rPr>
            </w:pPr>
          </w:p>
        </w:tc>
        <w:tc>
          <w:tcPr>
            <w:tcW w:w="1190" w:type="dxa"/>
            <w:tcBorders>
              <w:top w:val="single" w:color="auto" w:sz="4" w:space="0"/>
              <w:left w:val="single" w:color="auto" w:sz="4" w:space="0"/>
              <w:bottom w:val="single" w:color="auto" w:sz="4" w:space="0"/>
            </w:tcBorders>
            <w:vAlign w:val="center"/>
          </w:tcPr>
          <w:p>
            <w:pPr>
              <w:adjustRightInd w:val="0"/>
              <w:snapToGrid w:val="0"/>
              <w:jc w:val="center"/>
              <w:rPr>
                <w:rFonts w:ascii="仿宋" w:hAnsi="仿宋" w:eastAsia="仿宋" w:cs="仿宋"/>
                <w:sz w:val="24"/>
                <w:szCs w:val="28"/>
              </w:rPr>
            </w:pPr>
          </w:p>
        </w:tc>
      </w:tr>
    </w:tbl>
    <w:p>
      <w:pPr>
        <w:spacing w:line="360" w:lineRule="auto"/>
        <w:rPr>
          <w:rFonts w:ascii="仿宋" w:hAnsi="仿宋" w:eastAsia="仿宋" w:cs="仿宋"/>
          <w:b/>
          <w:bCs/>
          <w:sz w:val="24"/>
        </w:rPr>
      </w:pPr>
      <w:r>
        <w:rPr>
          <w:rFonts w:hint="eastAsia" w:ascii="仿宋" w:hAnsi="仿宋" w:eastAsia="仿宋" w:cs="仿宋"/>
          <w:sz w:val="24"/>
        </w:rPr>
        <w:t>注：</w:t>
      </w:r>
      <w:r>
        <w:rPr>
          <w:rFonts w:ascii="仿宋" w:hAnsi="仿宋" w:eastAsia="仿宋" w:cs="仿宋"/>
          <w:sz w:val="24"/>
        </w:rPr>
        <w:t>1</w:t>
      </w:r>
      <w:r>
        <w:rPr>
          <w:rFonts w:hint="eastAsia" w:ascii="仿宋" w:hAnsi="仿宋" w:eastAsia="仿宋" w:cs="仿宋"/>
          <w:sz w:val="24"/>
        </w:rPr>
        <w:t>．投标人须针对本文件第二章内容，作出实质性响应。</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．投标人应根据投标设备的性能指标、对照招标文件要求在“偏离情况”栏注明“正偏离”、“负偏离”或“无偏离”。</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．投标人须如实填写偏离情况，完全响应招标文件的填无偏离，优于招标文件要求的填正偏离，出现实质性负偏离（由评委认定）的作废标处理。</w:t>
      </w:r>
    </w:p>
    <w:p>
      <w:pPr>
        <w:pStyle w:val="11"/>
        <w:spacing w:line="440" w:lineRule="exact"/>
        <w:ind w:firstLine="2520"/>
        <w:rPr>
          <w:rFonts w:ascii="仿宋" w:hAnsi="仿宋" w:eastAsia="仿宋" w:cs="仿宋"/>
          <w:spacing w:val="20"/>
          <w:sz w:val="24"/>
        </w:rPr>
      </w:pPr>
    </w:p>
    <w:p>
      <w:pPr>
        <w:pStyle w:val="11"/>
        <w:spacing w:line="440" w:lineRule="exact"/>
        <w:ind w:firstLine="2520"/>
        <w:rPr>
          <w:rFonts w:ascii="仿宋" w:hAnsi="仿宋" w:eastAsia="仿宋" w:cs="仿宋"/>
          <w:spacing w:val="20"/>
          <w:sz w:val="24"/>
        </w:rPr>
      </w:pPr>
    </w:p>
    <w:p>
      <w:pPr>
        <w:jc w:val="center"/>
        <w:rPr>
          <w:rFonts w:ascii="仿宋" w:hAnsi="仿宋" w:eastAsia="仿宋" w:cs="仿宋"/>
          <w:sz w:val="30"/>
        </w:rPr>
      </w:pPr>
    </w:p>
    <w:p>
      <w:pPr>
        <w:pStyle w:val="11"/>
        <w:spacing w:line="360" w:lineRule="auto"/>
        <w:ind w:right="480" w:firstLine="2400" w:firstLineChars="1000"/>
        <w:rPr>
          <w:rFonts w:ascii="仿宋" w:hAnsi="仿宋" w:eastAsia="仿宋" w:cs="仿宋"/>
          <w:sz w:val="24"/>
          <w:szCs w:val="24"/>
        </w:rPr>
      </w:pPr>
      <w:r>
        <w:rPr>
          <w:rFonts w:hint="eastAsia" w:ascii="仿宋" w:hAnsi="仿宋" w:eastAsia="仿宋" w:cs="仿宋"/>
          <w:sz w:val="24"/>
          <w:szCs w:val="24"/>
        </w:rPr>
        <w:t>负责人（或委托代理人）签字或盖章</w:t>
      </w:r>
      <w:r>
        <w:rPr>
          <w:rFonts w:ascii="仿宋" w:hAnsi="仿宋" w:eastAsia="仿宋" w:cs="仿宋"/>
          <w:sz w:val="24"/>
          <w:szCs w:val="24"/>
          <w:u w:val="single"/>
        </w:rPr>
        <w:t>_____________</w:t>
      </w:r>
    </w:p>
    <w:p>
      <w:pPr>
        <w:pStyle w:val="11"/>
        <w:spacing w:line="360" w:lineRule="auto"/>
        <w:ind w:right="480"/>
        <w:jc w:val="center"/>
        <w:rPr>
          <w:rFonts w:ascii="仿宋" w:hAnsi="仿宋" w:eastAsia="仿宋" w:cs="仿宋"/>
          <w:sz w:val="24"/>
          <w:szCs w:val="24"/>
        </w:rPr>
      </w:pPr>
      <w:r>
        <w:rPr>
          <w:rFonts w:hint="eastAsia" w:ascii="仿宋" w:hAnsi="仿宋" w:eastAsia="仿宋" w:cs="仿宋"/>
          <w:sz w:val="24"/>
          <w:szCs w:val="24"/>
        </w:rPr>
        <w:t>　　　　　　　　　　　　　</w:t>
      </w:r>
      <w:r>
        <w:rPr>
          <w:rFonts w:ascii="仿宋" w:hAnsi="仿宋" w:eastAsia="仿宋" w:cs="仿宋"/>
          <w:sz w:val="24"/>
          <w:szCs w:val="24"/>
        </w:rPr>
        <w:t xml:space="preserve">              </w:t>
      </w:r>
      <w:r>
        <w:rPr>
          <w:rFonts w:hint="eastAsia" w:ascii="仿宋" w:hAnsi="仿宋" w:eastAsia="仿宋" w:cs="仿宋"/>
          <w:sz w:val="24"/>
          <w:szCs w:val="24"/>
        </w:rPr>
        <w:t>投标人盖公章</w:t>
      </w:r>
      <w:r>
        <w:rPr>
          <w:rFonts w:ascii="仿宋" w:hAnsi="仿宋" w:eastAsia="仿宋" w:cs="仿宋"/>
          <w:sz w:val="24"/>
          <w:szCs w:val="24"/>
          <w:u w:val="single"/>
        </w:rPr>
        <w:t>_____________</w:t>
      </w:r>
    </w:p>
    <w:p>
      <w:pPr>
        <w:pStyle w:val="11"/>
        <w:wordWrap w:val="0"/>
        <w:spacing w:line="360" w:lineRule="auto"/>
        <w:ind w:right="480" w:firstLine="4800" w:firstLineChars="2000"/>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u w:val="single"/>
        </w:rPr>
        <w:t>_____</w:t>
      </w:r>
      <w:r>
        <w:rPr>
          <w:rFonts w:hint="eastAsia" w:ascii="仿宋" w:hAnsi="仿宋" w:eastAsia="仿宋" w:cs="仿宋"/>
          <w:sz w:val="24"/>
          <w:szCs w:val="24"/>
        </w:rPr>
        <w:t>年</w:t>
      </w:r>
      <w:r>
        <w:rPr>
          <w:rFonts w:ascii="仿宋" w:hAnsi="仿宋" w:eastAsia="仿宋" w:cs="仿宋"/>
          <w:sz w:val="24"/>
          <w:szCs w:val="24"/>
          <w:u w:val="single"/>
        </w:rPr>
        <w:t>____</w:t>
      </w:r>
      <w:r>
        <w:rPr>
          <w:rFonts w:hint="eastAsia" w:ascii="仿宋" w:hAnsi="仿宋" w:eastAsia="仿宋" w:cs="仿宋"/>
          <w:sz w:val="24"/>
          <w:szCs w:val="24"/>
        </w:rPr>
        <w:t>月</w:t>
      </w:r>
      <w:r>
        <w:rPr>
          <w:rFonts w:ascii="仿宋" w:hAnsi="仿宋" w:eastAsia="仿宋" w:cs="仿宋"/>
          <w:sz w:val="24"/>
          <w:szCs w:val="24"/>
          <w:u w:val="single"/>
        </w:rPr>
        <w:t>____</w:t>
      </w:r>
      <w:r>
        <w:rPr>
          <w:rFonts w:hint="eastAsia" w:ascii="仿宋" w:hAnsi="仿宋" w:eastAsia="仿宋" w:cs="仿宋"/>
          <w:sz w:val="24"/>
          <w:szCs w:val="24"/>
        </w:rPr>
        <w:t>日</w:t>
      </w:r>
    </w:p>
    <w:p>
      <w:pPr>
        <w:jc w:val="center"/>
        <w:rPr>
          <w:rFonts w:ascii="仿宋" w:hAnsi="仿宋" w:eastAsia="仿宋" w:cs="仿宋"/>
          <w:sz w:val="30"/>
        </w:rPr>
      </w:pPr>
    </w:p>
    <w:p>
      <w:pPr>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pStyle w:val="4"/>
        <w:spacing w:before="240" w:after="240"/>
        <w:ind w:firstLine="0" w:firstLineChars="0"/>
        <w:jc w:val="center"/>
        <w:rPr>
          <w:rFonts w:ascii="仿宋" w:hAnsi="仿宋" w:eastAsia="仿宋" w:cs="仿宋"/>
        </w:rPr>
      </w:pPr>
      <w:r>
        <w:rPr>
          <w:rFonts w:ascii="仿宋" w:hAnsi="仿宋" w:eastAsia="仿宋" w:cs="仿宋"/>
          <w:sz w:val="32"/>
          <w:szCs w:val="32"/>
        </w:rPr>
        <w:br w:type="page"/>
      </w:r>
      <w:bookmarkEnd w:id="444"/>
      <w:bookmarkStart w:id="454" w:name="_Toc5327"/>
      <w:bookmarkStart w:id="455" w:name="_Toc11769"/>
      <w:bookmarkStart w:id="456" w:name="_Toc497376127"/>
      <w:bookmarkStart w:id="457" w:name="_Toc31395"/>
      <w:bookmarkStart w:id="458" w:name="_Toc2506"/>
      <w:bookmarkStart w:id="459" w:name="_Toc12200"/>
      <w:bookmarkStart w:id="460" w:name="_Toc11494"/>
      <w:bookmarkStart w:id="461" w:name="_Toc28387"/>
      <w:bookmarkStart w:id="462" w:name="_Toc19021"/>
      <w:bookmarkStart w:id="463" w:name="_Toc15494"/>
      <w:bookmarkStart w:id="464" w:name="_Toc493956070"/>
      <w:r>
        <w:rPr>
          <w:rFonts w:hint="eastAsia" w:ascii="仿宋" w:hAnsi="仿宋" w:eastAsia="仿宋" w:cs="仿宋"/>
        </w:rPr>
        <w:t>9、</w:t>
      </w:r>
      <w:bookmarkEnd w:id="454"/>
      <w:bookmarkEnd w:id="455"/>
      <w:bookmarkEnd w:id="456"/>
      <w:r>
        <w:rPr>
          <w:rFonts w:hint="eastAsia" w:ascii="仿宋" w:hAnsi="仿宋" w:eastAsia="仿宋" w:cs="仿宋"/>
          <w:sz w:val="32"/>
          <w:szCs w:val="32"/>
        </w:rPr>
        <w:t>重点和难点分析</w:t>
      </w:r>
      <w:bookmarkEnd w:id="457"/>
      <w:bookmarkEnd w:id="458"/>
      <w:bookmarkEnd w:id="459"/>
      <w:bookmarkEnd w:id="460"/>
      <w:bookmarkEnd w:id="461"/>
      <w:bookmarkEnd w:id="462"/>
      <w:bookmarkEnd w:id="463"/>
    </w:p>
    <w:p>
      <w:pPr>
        <w:pStyle w:val="72"/>
        <w:spacing w:line="360" w:lineRule="auto"/>
        <w:rPr>
          <w:rFonts w:ascii="仿宋" w:hAnsi="仿宋" w:eastAsia="仿宋" w:cs="仿宋"/>
          <w:b/>
          <w:bCs/>
          <w:sz w:val="24"/>
        </w:rPr>
      </w:pPr>
    </w:p>
    <w:p>
      <w:pPr>
        <w:pStyle w:val="72"/>
        <w:rPr>
          <w:rFonts w:ascii="仿宋" w:hAnsi="仿宋" w:eastAsia="仿宋" w:cs="仿宋"/>
          <w:sz w:val="24"/>
          <w:szCs w:val="24"/>
        </w:rPr>
      </w:pPr>
      <w:r>
        <w:rPr>
          <w:rFonts w:hint="eastAsia" w:ascii="仿宋" w:hAnsi="仿宋" w:eastAsia="仿宋" w:cs="仿宋"/>
          <w:sz w:val="24"/>
          <w:szCs w:val="24"/>
        </w:rPr>
        <w:t>注：1. 表格请按第二章内容要求编制；</w:t>
      </w:r>
    </w:p>
    <w:p>
      <w:pPr>
        <w:pStyle w:val="72"/>
        <w:rPr>
          <w:rFonts w:ascii="仿宋" w:hAnsi="仿宋" w:eastAsia="仿宋" w:cs="仿宋"/>
          <w:sz w:val="24"/>
          <w:szCs w:val="24"/>
        </w:rPr>
      </w:pPr>
      <w:r>
        <w:rPr>
          <w:rFonts w:hint="eastAsia" w:ascii="仿宋" w:hAnsi="仿宋" w:eastAsia="仿宋" w:cs="仿宋"/>
          <w:sz w:val="24"/>
          <w:szCs w:val="24"/>
        </w:rPr>
        <w:t>2. 格式自拟；</w:t>
      </w:r>
    </w:p>
    <w:p>
      <w:pPr>
        <w:widowControl/>
        <w:spacing w:line="360" w:lineRule="auto"/>
        <w:ind w:firstLine="480" w:firstLineChars="200"/>
        <w:rPr>
          <w:rFonts w:ascii="仿宋" w:hAnsi="仿宋" w:eastAsia="仿宋" w:cs="仿宋"/>
          <w:sz w:val="24"/>
        </w:rPr>
      </w:pPr>
    </w:p>
    <w:p>
      <w:pPr>
        <w:pStyle w:val="72"/>
        <w:spacing w:line="360" w:lineRule="auto"/>
        <w:ind w:firstLine="480"/>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11"/>
        <w:spacing w:line="360" w:lineRule="auto"/>
        <w:ind w:firstLine="3080" w:firstLineChars="1100"/>
        <w:rPr>
          <w:rFonts w:ascii="仿宋" w:hAnsi="仿宋" w:eastAsia="仿宋" w:cs="仿宋"/>
          <w:spacing w:val="20"/>
          <w:sz w:val="24"/>
        </w:rPr>
      </w:pPr>
      <w:r>
        <w:rPr>
          <w:rFonts w:hint="eastAsia" w:ascii="仿宋" w:hAnsi="仿宋" w:eastAsia="仿宋" w:cs="仿宋"/>
          <w:spacing w:val="20"/>
          <w:sz w:val="24"/>
        </w:rPr>
        <w:t>负责人（或授权代表）签字或盖章：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pStyle w:val="11"/>
        <w:spacing w:line="360" w:lineRule="auto"/>
        <w:ind w:firstLine="5880" w:firstLineChars="2100"/>
        <w:rPr>
          <w:rFonts w:ascii="仿宋" w:hAnsi="仿宋" w:eastAsia="仿宋" w:cs="仿宋"/>
          <w:spacing w:val="20"/>
          <w:sz w:val="24"/>
          <w:u w:val="single"/>
        </w:rPr>
      </w:pPr>
      <w:r>
        <w:rPr>
          <w:rFonts w:hint="eastAsia" w:ascii="仿宋" w:hAnsi="仿宋" w:eastAsia="仿宋" w:cs="仿宋"/>
          <w:spacing w:val="20"/>
          <w:sz w:val="24"/>
        </w:rPr>
        <w:t>投标人盖章：</w:t>
      </w:r>
      <w:r>
        <w:rPr>
          <w:rFonts w:hint="eastAsia" w:ascii="仿宋" w:hAnsi="仿宋" w:eastAsia="仿宋" w:cs="仿宋"/>
          <w:spacing w:val="20"/>
          <w:sz w:val="24"/>
          <w:u w:val="single"/>
        </w:rPr>
        <w:t xml:space="preserve">            </w:t>
      </w:r>
    </w:p>
    <w:p>
      <w:pPr>
        <w:pStyle w:val="72"/>
        <w:spacing w:line="360" w:lineRule="auto"/>
        <w:ind w:firstLine="5880" w:firstLineChars="2100"/>
        <w:rPr>
          <w:rFonts w:ascii="仿宋" w:hAnsi="仿宋" w:eastAsia="仿宋" w:cs="仿宋"/>
          <w:sz w:val="24"/>
          <w:szCs w:val="24"/>
        </w:rPr>
      </w:pPr>
      <w:r>
        <w:rPr>
          <w:rFonts w:hint="eastAsia" w:ascii="仿宋" w:hAnsi="仿宋" w:eastAsia="仿宋" w:cs="仿宋"/>
          <w:spacing w:val="20"/>
          <w:sz w:val="24"/>
        </w:rPr>
        <w:t>日     期：</w:t>
      </w:r>
      <w:r>
        <w:rPr>
          <w:rFonts w:hint="eastAsia" w:ascii="仿宋" w:hAnsi="仿宋" w:eastAsia="仿宋" w:cs="仿宋"/>
          <w:spacing w:val="20"/>
          <w:sz w:val="24"/>
          <w:u w:val="single"/>
        </w:rPr>
        <w:t xml:space="preserve">      </w:t>
      </w: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p>
      <w:pPr>
        <w:pStyle w:val="72"/>
        <w:spacing w:line="360" w:lineRule="auto"/>
        <w:rPr>
          <w:rFonts w:ascii="仿宋" w:hAnsi="仿宋" w:eastAsia="仿宋" w:cs="仿宋"/>
          <w:sz w:val="24"/>
          <w:szCs w:val="24"/>
        </w:rPr>
      </w:pPr>
    </w:p>
    <w:bookmarkEnd w:id="464"/>
    <w:p>
      <w:pPr>
        <w:pStyle w:val="4"/>
        <w:spacing w:before="240" w:after="240"/>
        <w:ind w:firstLine="0" w:firstLineChars="0"/>
        <w:jc w:val="center"/>
        <w:rPr>
          <w:rFonts w:ascii="仿宋" w:hAnsi="仿宋" w:eastAsia="仿宋" w:cs="仿宋"/>
        </w:rPr>
      </w:pPr>
      <w:bookmarkStart w:id="465" w:name="_Toc24023"/>
      <w:bookmarkStart w:id="466" w:name="_Toc16275"/>
      <w:bookmarkStart w:id="467" w:name="_Toc16061"/>
      <w:bookmarkStart w:id="468" w:name="_Toc1685"/>
      <w:bookmarkStart w:id="469" w:name="_Toc17146"/>
      <w:bookmarkStart w:id="470" w:name="_Toc25004"/>
      <w:bookmarkStart w:id="471" w:name="_Toc15225"/>
      <w:bookmarkStart w:id="472" w:name="_Toc5923"/>
      <w:bookmarkStart w:id="473" w:name="_Toc17305"/>
      <w:bookmarkStart w:id="474" w:name="_Toc3446"/>
      <w:r>
        <w:rPr>
          <w:rFonts w:hint="eastAsia" w:ascii="仿宋" w:hAnsi="仿宋" w:eastAsia="仿宋" w:cs="仿宋"/>
        </w:rPr>
        <w:t>10、</w:t>
      </w:r>
      <w:bookmarkEnd w:id="465"/>
      <w:bookmarkEnd w:id="466"/>
      <w:bookmarkEnd w:id="467"/>
      <w:r>
        <w:rPr>
          <w:rFonts w:hint="eastAsia" w:ascii="仿宋" w:hAnsi="仿宋" w:eastAsia="仿宋" w:cs="仿宋"/>
          <w:sz w:val="32"/>
          <w:szCs w:val="32"/>
        </w:rPr>
        <w:t>质量承诺及保证措施</w:t>
      </w:r>
      <w:bookmarkEnd w:id="468"/>
      <w:bookmarkEnd w:id="469"/>
      <w:bookmarkEnd w:id="470"/>
      <w:bookmarkEnd w:id="471"/>
      <w:bookmarkEnd w:id="472"/>
      <w:bookmarkEnd w:id="473"/>
      <w:bookmarkEnd w:id="474"/>
    </w:p>
    <w:p>
      <w:pPr>
        <w:pStyle w:val="72"/>
        <w:spacing w:line="360" w:lineRule="auto"/>
        <w:rPr>
          <w:rFonts w:ascii="仿宋" w:hAnsi="仿宋" w:eastAsia="仿宋" w:cs="仿宋"/>
          <w:bCs/>
          <w:sz w:val="24"/>
        </w:rPr>
      </w:pPr>
      <w:r>
        <w:rPr>
          <w:rFonts w:hint="eastAsia" w:ascii="仿宋" w:hAnsi="仿宋" w:eastAsia="仿宋" w:cs="仿宋"/>
          <w:b/>
          <w:bCs/>
          <w:sz w:val="24"/>
        </w:rPr>
        <w:t>注：</w:t>
      </w:r>
      <w:r>
        <w:rPr>
          <w:rFonts w:hint="eastAsia" w:ascii="仿宋" w:hAnsi="仿宋" w:eastAsia="仿宋" w:cs="仿宋"/>
          <w:bCs/>
          <w:sz w:val="24"/>
        </w:rPr>
        <w:t>1.</w:t>
      </w:r>
      <w:r>
        <w:rPr>
          <w:rFonts w:hint="eastAsia" w:ascii="仿宋" w:hAnsi="仿宋" w:eastAsia="仿宋" w:cs="仿宋"/>
        </w:rPr>
        <w:t xml:space="preserve"> </w:t>
      </w:r>
      <w:r>
        <w:rPr>
          <w:rFonts w:hint="eastAsia" w:ascii="仿宋" w:hAnsi="仿宋" w:eastAsia="仿宋" w:cs="仿宋"/>
          <w:bCs/>
          <w:sz w:val="24"/>
        </w:rPr>
        <w:t>表格请按第二章内容要求编制；</w:t>
      </w:r>
    </w:p>
    <w:p>
      <w:pPr>
        <w:pStyle w:val="72"/>
        <w:spacing w:line="360" w:lineRule="auto"/>
        <w:ind w:firstLine="480"/>
        <w:rPr>
          <w:rFonts w:ascii="仿宋" w:hAnsi="仿宋" w:eastAsia="仿宋" w:cs="仿宋"/>
          <w:bCs/>
          <w:sz w:val="24"/>
        </w:rPr>
      </w:pPr>
      <w:r>
        <w:rPr>
          <w:rFonts w:hint="eastAsia" w:ascii="仿宋" w:hAnsi="仿宋" w:eastAsia="仿宋" w:cs="仿宋"/>
          <w:bCs/>
          <w:sz w:val="24"/>
        </w:rPr>
        <w:t>2. 格式自拟；</w:t>
      </w:r>
    </w:p>
    <w:p>
      <w:pPr>
        <w:widowControl/>
        <w:spacing w:line="360" w:lineRule="auto"/>
        <w:ind w:firstLine="480" w:firstLineChars="200"/>
        <w:rPr>
          <w:rFonts w:ascii="仿宋" w:hAnsi="仿宋" w:eastAsia="仿宋" w:cs="仿宋"/>
          <w:sz w:val="24"/>
        </w:rPr>
      </w:pPr>
    </w:p>
    <w:p>
      <w:pPr>
        <w:pStyle w:val="11"/>
        <w:spacing w:line="360" w:lineRule="auto"/>
        <w:ind w:firstLine="3080" w:firstLineChars="1100"/>
        <w:rPr>
          <w:rFonts w:ascii="仿宋" w:hAnsi="仿宋" w:eastAsia="仿宋" w:cs="仿宋"/>
          <w:spacing w:val="20"/>
          <w:sz w:val="24"/>
        </w:rPr>
      </w:pPr>
      <w:r>
        <w:rPr>
          <w:rFonts w:hint="eastAsia" w:ascii="仿宋" w:hAnsi="仿宋" w:eastAsia="仿宋" w:cs="仿宋"/>
          <w:spacing w:val="20"/>
          <w:sz w:val="24"/>
        </w:rPr>
        <w:t>负责人（或授权代表）签字或盖章：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pStyle w:val="11"/>
        <w:spacing w:line="360" w:lineRule="auto"/>
        <w:ind w:firstLine="5880" w:firstLineChars="2100"/>
        <w:rPr>
          <w:rFonts w:ascii="仿宋" w:hAnsi="仿宋" w:eastAsia="仿宋" w:cs="仿宋"/>
          <w:spacing w:val="20"/>
          <w:sz w:val="24"/>
          <w:u w:val="single"/>
        </w:rPr>
      </w:pPr>
      <w:r>
        <w:rPr>
          <w:rFonts w:hint="eastAsia" w:ascii="仿宋" w:hAnsi="仿宋" w:eastAsia="仿宋" w:cs="仿宋"/>
          <w:spacing w:val="20"/>
          <w:sz w:val="24"/>
        </w:rPr>
        <w:t>投标人盖章：</w:t>
      </w:r>
      <w:r>
        <w:rPr>
          <w:rFonts w:hint="eastAsia" w:ascii="仿宋" w:hAnsi="仿宋" w:eastAsia="仿宋" w:cs="仿宋"/>
          <w:spacing w:val="20"/>
          <w:sz w:val="24"/>
          <w:u w:val="single"/>
        </w:rPr>
        <w:t xml:space="preserve">            </w:t>
      </w:r>
    </w:p>
    <w:p>
      <w:pPr>
        <w:spacing w:line="360" w:lineRule="auto"/>
        <w:jc w:val="center"/>
        <w:rPr>
          <w:rFonts w:ascii="仿宋" w:hAnsi="仿宋" w:eastAsia="仿宋" w:cs="仿宋"/>
          <w:sz w:val="30"/>
        </w:rPr>
      </w:pPr>
      <w:r>
        <w:rPr>
          <w:rFonts w:hint="eastAsia" w:ascii="仿宋" w:hAnsi="仿宋" w:eastAsia="仿宋" w:cs="仿宋"/>
          <w:spacing w:val="20"/>
          <w:sz w:val="24"/>
        </w:rPr>
        <w:t xml:space="preserve">                               日     期：</w:t>
      </w:r>
      <w:r>
        <w:rPr>
          <w:rFonts w:hint="eastAsia" w:ascii="仿宋" w:hAnsi="仿宋" w:eastAsia="仿宋" w:cs="仿宋"/>
          <w:spacing w:val="20"/>
          <w:sz w:val="24"/>
          <w:u w:val="single"/>
        </w:rPr>
        <w:t xml:space="preserve">      </w:t>
      </w:r>
    </w:p>
    <w:p>
      <w:pPr>
        <w:spacing w:line="360" w:lineRule="auto"/>
        <w:jc w:val="center"/>
        <w:rPr>
          <w:rFonts w:ascii="仿宋" w:hAnsi="仿宋" w:eastAsia="仿宋" w:cs="仿宋"/>
          <w:sz w:val="30"/>
        </w:rPr>
      </w:pPr>
    </w:p>
    <w:p>
      <w:pPr>
        <w:autoSpaceDE w:val="0"/>
        <w:autoSpaceDN w:val="0"/>
        <w:adjustRightInd w:val="0"/>
        <w:spacing w:line="400" w:lineRule="exact"/>
        <w:jc w:val="center"/>
        <w:rPr>
          <w:rFonts w:ascii="仿宋" w:hAnsi="仿宋" w:eastAsia="仿宋" w:cs="仿宋"/>
          <w:sz w:val="30"/>
        </w:rPr>
      </w:pPr>
    </w:p>
    <w:p>
      <w:pPr>
        <w:pStyle w:val="7"/>
        <w:rPr>
          <w:rFonts w:ascii="仿宋" w:hAnsi="仿宋" w:eastAsia="仿宋" w:cs="仿宋"/>
          <w:sz w:val="30"/>
        </w:rPr>
      </w:pPr>
    </w:p>
    <w:p>
      <w:pPr>
        <w:pStyle w:val="22"/>
        <w:ind w:firstLine="300"/>
        <w:rPr>
          <w:rFonts w:ascii="宋体" w:hAnsi="宋体"/>
          <w:sz w:val="30"/>
        </w:rPr>
      </w:pPr>
    </w:p>
    <w:p>
      <w:pPr>
        <w:pStyle w:val="17"/>
        <w:rPr>
          <w:rFonts w:ascii="宋体" w:hAnsi="宋体"/>
          <w:sz w:val="30"/>
        </w:rPr>
      </w:pPr>
    </w:p>
    <w:p>
      <w:pPr>
        <w:rPr>
          <w:rFonts w:ascii="宋体" w:hAnsi="宋体"/>
          <w:sz w:val="30"/>
        </w:rPr>
      </w:pPr>
    </w:p>
    <w:p>
      <w:pPr>
        <w:pStyle w:val="7"/>
        <w:rPr>
          <w:rFonts w:ascii="宋体" w:hAnsi="宋体"/>
          <w:sz w:val="30"/>
        </w:rPr>
      </w:pPr>
    </w:p>
    <w:p>
      <w:pPr>
        <w:pStyle w:val="22"/>
        <w:ind w:firstLine="300"/>
        <w:rPr>
          <w:rFonts w:ascii="宋体" w:hAnsi="宋体"/>
          <w:sz w:val="30"/>
        </w:rPr>
      </w:pPr>
    </w:p>
    <w:p>
      <w:pPr>
        <w:pStyle w:val="17"/>
        <w:rPr>
          <w:rFonts w:ascii="宋体" w:hAnsi="宋体"/>
          <w:sz w:val="30"/>
        </w:rPr>
      </w:pPr>
    </w:p>
    <w:p>
      <w:pPr>
        <w:rPr>
          <w:rFonts w:ascii="宋体" w:hAnsi="宋体"/>
          <w:sz w:val="30"/>
        </w:rPr>
      </w:pPr>
    </w:p>
    <w:p>
      <w:pPr>
        <w:pStyle w:val="7"/>
        <w:rPr>
          <w:rFonts w:ascii="宋体" w:hAnsi="宋体"/>
          <w:sz w:val="30"/>
        </w:rPr>
      </w:pPr>
    </w:p>
    <w:p>
      <w:pPr>
        <w:pStyle w:val="22"/>
        <w:ind w:firstLine="300"/>
        <w:rPr>
          <w:rFonts w:ascii="宋体" w:hAnsi="宋体"/>
          <w:sz w:val="30"/>
        </w:rPr>
      </w:pPr>
    </w:p>
    <w:p>
      <w:pPr>
        <w:pStyle w:val="17"/>
        <w:rPr>
          <w:rFonts w:ascii="宋体" w:hAnsi="宋体"/>
          <w:sz w:val="30"/>
        </w:rPr>
      </w:pPr>
    </w:p>
    <w:p>
      <w:pPr>
        <w:rPr>
          <w:rFonts w:ascii="宋体" w:hAnsi="宋体"/>
          <w:sz w:val="30"/>
        </w:rPr>
      </w:pPr>
    </w:p>
    <w:p>
      <w:pPr>
        <w:pStyle w:val="7"/>
        <w:rPr>
          <w:rFonts w:ascii="宋体" w:hAnsi="宋体"/>
          <w:sz w:val="30"/>
        </w:rPr>
      </w:pPr>
    </w:p>
    <w:p>
      <w:pPr>
        <w:pStyle w:val="22"/>
        <w:ind w:firstLine="300"/>
        <w:rPr>
          <w:rFonts w:ascii="宋体" w:hAnsi="宋体"/>
          <w:sz w:val="30"/>
        </w:rPr>
      </w:pPr>
    </w:p>
    <w:p>
      <w:pPr>
        <w:pStyle w:val="17"/>
      </w:pPr>
    </w:p>
    <w:p>
      <w:pPr>
        <w:pStyle w:val="22"/>
        <w:ind w:firstLine="300"/>
        <w:rPr>
          <w:rFonts w:ascii="宋体" w:hAnsi="宋体"/>
          <w:sz w:val="30"/>
        </w:rPr>
      </w:pPr>
    </w:p>
    <w:p>
      <w:pPr>
        <w:pStyle w:val="17"/>
      </w:pPr>
    </w:p>
    <w:p>
      <w:pPr>
        <w:pStyle w:val="4"/>
        <w:spacing w:before="240" w:after="240"/>
        <w:ind w:firstLine="0" w:firstLineChars="0"/>
        <w:jc w:val="center"/>
        <w:rPr>
          <w:rFonts w:ascii="仿宋" w:hAnsi="仿宋" w:eastAsia="仿宋" w:cs="仿宋"/>
        </w:rPr>
      </w:pPr>
      <w:bookmarkStart w:id="475" w:name="_Toc26409"/>
      <w:bookmarkStart w:id="476" w:name="_Toc10480"/>
      <w:bookmarkStart w:id="477" w:name="_Toc18725"/>
      <w:bookmarkStart w:id="478" w:name="_Toc28283"/>
      <w:bookmarkStart w:id="479" w:name="_Toc28448"/>
      <w:bookmarkStart w:id="480" w:name="_Toc11007"/>
      <w:bookmarkStart w:id="481" w:name="_Toc14341"/>
      <w:bookmarkStart w:id="482" w:name="_Toc9986"/>
      <w:bookmarkStart w:id="483" w:name="_Toc20015"/>
      <w:bookmarkStart w:id="484" w:name="_Toc19601"/>
      <w:r>
        <w:rPr>
          <w:rFonts w:hint="eastAsia" w:ascii="仿宋" w:hAnsi="仿宋" w:eastAsia="仿宋" w:cs="仿宋"/>
        </w:rPr>
        <w:t>11、</w:t>
      </w:r>
      <w:bookmarkEnd w:id="475"/>
      <w:bookmarkEnd w:id="476"/>
      <w:bookmarkEnd w:id="477"/>
      <w:r>
        <w:rPr>
          <w:rFonts w:hint="eastAsia" w:ascii="仿宋" w:hAnsi="仿宋" w:eastAsia="仿宋" w:cs="仿宋"/>
          <w:sz w:val="32"/>
          <w:szCs w:val="32"/>
        </w:rPr>
        <w:t>项目班子人员配备情况表</w:t>
      </w:r>
      <w:bookmarkEnd w:id="478"/>
      <w:bookmarkEnd w:id="479"/>
      <w:bookmarkEnd w:id="480"/>
      <w:bookmarkEnd w:id="481"/>
      <w:bookmarkEnd w:id="482"/>
      <w:bookmarkEnd w:id="483"/>
      <w:bookmarkEnd w:id="484"/>
    </w:p>
    <w:p>
      <w:pPr>
        <w:tabs>
          <w:tab w:val="left" w:pos="2355"/>
          <w:tab w:val="center" w:pos="4513"/>
        </w:tabs>
        <w:spacing w:line="360" w:lineRule="auto"/>
        <w:jc w:val="left"/>
        <w:rPr>
          <w:rFonts w:ascii="仿宋" w:hAnsi="仿宋" w:eastAsia="仿宋" w:cs="仿宋"/>
          <w:sz w:val="24"/>
          <w:szCs w:val="32"/>
        </w:rPr>
      </w:pPr>
      <w:r>
        <w:rPr>
          <w:rFonts w:hint="eastAsia" w:ascii="仿宋" w:hAnsi="仿宋" w:eastAsia="仿宋" w:cs="仿宋"/>
          <w:sz w:val="24"/>
          <w:szCs w:val="32"/>
        </w:rPr>
        <w:t>采购编号：</w:t>
      </w:r>
    </w:p>
    <w:p>
      <w:pPr>
        <w:tabs>
          <w:tab w:val="left" w:pos="2355"/>
          <w:tab w:val="center" w:pos="4513"/>
        </w:tabs>
        <w:spacing w:line="360" w:lineRule="auto"/>
        <w:jc w:val="left"/>
        <w:rPr>
          <w:rFonts w:ascii="仿宋" w:hAnsi="仿宋" w:eastAsia="仿宋" w:cs="仿宋"/>
          <w:sz w:val="32"/>
          <w:szCs w:val="32"/>
        </w:rPr>
      </w:pPr>
      <w:r>
        <w:rPr>
          <w:rFonts w:hint="eastAsia" w:ascii="仿宋" w:hAnsi="仿宋" w:eastAsia="仿宋" w:cs="仿宋"/>
          <w:sz w:val="24"/>
          <w:szCs w:val="32"/>
        </w:rPr>
        <w:t>项目名称：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49"/>
        <w:gridCol w:w="1113"/>
        <w:gridCol w:w="1559"/>
        <w:gridCol w:w="155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1649" w:type="dxa"/>
            <w:vAlign w:val="center"/>
          </w:tcPr>
          <w:p>
            <w:pPr>
              <w:jc w:val="center"/>
              <w:rPr>
                <w:rFonts w:ascii="仿宋" w:hAnsi="仿宋" w:eastAsia="仿宋" w:cs="仿宋"/>
                <w:sz w:val="24"/>
              </w:rPr>
            </w:pPr>
            <w:r>
              <w:rPr>
                <w:rFonts w:hint="eastAsia" w:ascii="仿宋" w:hAnsi="仿宋" w:eastAsia="仿宋" w:cs="仿宋"/>
                <w:sz w:val="24"/>
              </w:rPr>
              <w:t>姓  名</w:t>
            </w:r>
          </w:p>
        </w:tc>
        <w:tc>
          <w:tcPr>
            <w:tcW w:w="1113" w:type="dxa"/>
            <w:vAlign w:val="center"/>
          </w:tcPr>
          <w:p>
            <w:pPr>
              <w:jc w:val="center"/>
              <w:rPr>
                <w:rFonts w:ascii="仿宋" w:hAnsi="仿宋" w:eastAsia="仿宋" w:cs="仿宋"/>
                <w:sz w:val="24"/>
              </w:rPr>
            </w:pPr>
            <w:r>
              <w:rPr>
                <w:rFonts w:hint="eastAsia" w:ascii="仿宋" w:hAnsi="仿宋" w:eastAsia="仿宋" w:cs="仿宋"/>
                <w:sz w:val="24"/>
              </w:rPr>
              <w:t>性  别</w:t>
            </w:r>
          </w:p>
        </w:tc>
        <w:tc>
          <w:tcPr>
            <w:tcW w:w="1559" w:type="dxa"/>
            <w:vAlign w:val="center"/>
          </w:tcPr>
          <w:p>
            <w:pPr>
              <w:jc w:val="center"/>
              <w:rPr>
                <w:rFonts w:ascii="仿宋" w:hAnsi="仿宋" w:eastAsia="仿宋" w:cs="仿宋"/>
                <w:sz w:val="24"/>
              </w:rPr>
            </w:pPr>
            <w:r>
              <w:rPr>
                <w:rFonts w:hint="eastAsia" w:ascii="仿宋" w:hAnsi="仿宋" w:eastAsia="仿宋" w:cs="仿宋"/>
                <w:sz w:val="24"/>
              </w:rPr>
              <w:t>职称、职务、工种</w:t>
            </w:r>
          </w:p>
        </w:tc>
        <w:tc>
          <w:tcPr>
            <w:tcW w:w="1559" w:type="dxa"/>
            <w:vAlign w:val="center"/>
          </w:tcPr>
          <w:p>
            <w:pPr>
              <w:jc w:val="center"/>
              <w:rPr>
                <w:rFonts w:ascii="仿宋" w:hAnsi="仿宋" w:eastAsia="仿宋" w:cs="仿宋"/>
                <w:sz w:val="24"/>
              </w:rPr>
            </w:pPr>
            <w:r>
              <w:rPr>
                <w:rFonts w:hint="eastAsia" w:ascii="仿宋" w:hAnsi="仿宋" w:eastAsia="仿宋" w:cs="仿宋"/>
                <w:sz w:val="24"/>
              </w:rPr>
              <w:t>现场承担工作</w:t>
            </w:r>
          </w:p>
        </w:tc>
        <w:tc>
          <w:tcPr>
            <w:tcW w:w="2000" w:type="dxa"/>
            <w:vAlign w:val="center"/>
          </w:tcPr>
          <w:p>
            <w:pPr>
              <w:jc w:val="center"/>
              <w:rPr>
                <w:rFonts w:ascii="仿宋" w:hAnsi="仿宋" w:eastAsia="仿宋" w:cs="仿宋"/>
                <w:sz w:val="24"/>
              </w:rPr>
            </w:pPr>
            <w:r>
              <w:rPr>
                <w:rFonts w:hint="eastAsia" w:ascii="仿宋" w:hAnsi="仿宋" w:eastAsia="仿宋" w:cs="仿宋"/>
                <w:sz w:val="24"/>
              </w:rPr>
              <w:t>资历及近期承担主要工作情况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1</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2</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3</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4</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5</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02" w:type="dxa"/>
            <w:vAlign w:val="center"/>
          </w:tcPr>
          <w:p>
            <w:pPr>
              <w:jc w:val="center"/>
              <w:rPr>
                <w:rFonts w:ascii="仿宋" w:hAnsi="仿宋" w:eastAsia="仿宋" w:cs="仿宋"/>
                <w:sz w:val="24"/>
              </w:rPr>
            </w:pPr>
            <w:r>
              <w:rPr>
                <w:rFonts w:hint="eastAsia" w:ascii="仿宋" w:hAnsi="仿宋" w:eastAsia="仿宋" w:cs="仿宋"/>
                <w:sz w:val="24"/>
              </w:rPr>
              <w:t>…</w:t>
            </w:r>
          </w:p>
        </w:tc>
        <w:tc>
          <w:tcPr>
            <w:tcW w:w="1649" w:type="dxa"/>
            <w:vAlign w:val="center"/>
          </w:tcPr>
          <w:p>
            <w:pPr>
              <w:rPr>
                <w:rFonts w:ascii="仿宋" w:hAnsi="仿宋" w:eastAsia="仿宋" w:cs="仿宋"/>
                <w:sz w:val="24"/>
              </w:rPr>
            </w:pPr>
          </w:p>
        </w:tc>
        <w:tc>
          <w:tcPr>
            <w:tcW w:w="1113"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1559" w:type="dxa"/>
            <w:vAlign w:val="center"/>
          </w:tcPr>
          <w:p>
            <w:pPr>
              <w:rPr>
                <w:rFonts w:ascii="仿宋" w:hAnsi="仿宋" w:eastAsia="仿宋" w:cs="仿宋"/>
                <w:sz w:val="24"/>
              </w:rPr>
            </w:pPr>
          </w:p>
        </w:tc>
        <w:tc>
          <w:tcPr>
            <w:tcW w:w="2000" w:type="dxa"/>
            <w:vAlign w:val="center"/>
          </w:tcPr>
          <w:p>
            <w:pPr>
              <w:rPr>
                <w:rFonts w:ascii="仿宋" w:hAnsi="仿宋" w:eastAsia="仿宋" w:cs="仿宋"/>
                <w:sz w:val="24"/>
              </w:rPr>
            </w:pPr>
          </w:p>
        </w:tc>
      </w:tr>
    </w:tbl>
    <w:p>
      <w:pPr>
        <w:pStyle w:val="11"/>
        <w:spacing w:line="360" w:lineRule="auto"/>
        <w:rPr>
          <w:rFonts w:ascii="仿宋" w:hAnsi="仿宋" w:eastAsia="仿宋" w:cs="仿宋"/>
          <w:sz w:val="24"/>
        </w:rPr>
      </w:pPr>
      <w:r>
        <w:rPr>
          <w:rFonts w:hint="eastAsia" w:ascii="仿宋" w:hAnsi="仿宋" w:eastAsia="仿宋" w:cs="仿宋"/>
          <w:sz w:val="24"/>
        </w:rPr>
        <w:t>注：若成交，以上列入的所有人员将成为本项目指定成员，若要更换人员的必须经采购人同意，擅自更换或配备不到位均属违约行为。</w:t>
      </w:r>
    </w:p>
    <w:p>
      <w:pPr>
        <w:spacing w:line="360" w:lineRule="auto"/>
        <w:jc w:val="center"/>
        <w:rPr>
          <w:rFonts w:ascii="宋体" w:hAnsi="宋体"/>
          <w:sz w:val="30"/>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11"/>
        <w:spacing w:line="360" w:lineRule="auto"/>
        <w:ind w:firstLine="3080" w:firstLineChars="1100"/>
        <w:rPr>
          <w:rFonts w:ascii="仿宋" w:hAnsi="仿宋" w:eastAsia="仿宋" w:cs="仿宋"/>
          <w:spacing w:val="20"/>
          <w:sz w:val="24"/>
        </w:rPr>
      </w:pPr>
      <w:r>
        <w:rPr>
          <w:rFonts w:hint="eastAsia" w:ascii="仿宋" w:hAnsi="仿宋" w:eastAsia="仿宋" w:cs="仿宋"/>
          <w:spacing w:val="20"/>
          <w:sz w:val="24"/>
        </w:rPr>
        <w:t>负责人（或授权代表）签字或盖章：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pStyle w:val="11"/>
        <w:spacing w:line="360" w:lineRule="auto"/>
        <w:ind w:firstLine="5880" w:firstLineChars="2100"/>
        <w:rPr>
          <w:rFonts w:ascii="仿宋" w:hAnsi="仿宋" w:eastAsia="仿宋" w:cs="仿宋"/>
          <w:spacing w:val="20"/>
          <w:sz w:val="24"/>
          <w:u w:val="single"/>
        </w:rPr>
      </w:pPr>
      <w:r>
        <w:rPr>
          <w:rFonts w:hint="eastAsia" w:ascii="仿宋" w:hAnsi="仿宋" w:eastAsia="仿宋" w:cs="仿宋"/>
          <w:spacing w:val="20"/>
          <w:sz w:val="24"/>
        </w:rPr>
        <w:t>投标人盖章：</w:t>
      </w:r>
      <w:r>
        <w:rPr>
          <w:rFonts w:hint="eastAsia" w:ascii="仿宋" w:hAnsi="仿宋" w:eastAsia="仿宋" w:cs="仿宋"/>
          <w:spacing w:val="20"/>
          <w:sz w:val="24"/>
          <w:u w:val="single"/>
        </w:rPr>
        <w:t xml:space="preserve">            </w:t>
      </w:r>
    </w:p>
    <w:p>
      <w:pPr>
        <w:spacing w:line="360" w:lineRule="auto"/>
        <w:jc w:val="center"/>
        <w:rPr>
          <w:rFonts w:ascii="仿宋" w:hAnsi="仿宋" w:eastAsia="仿宋" w:cs="仿宋"/>
          <w:sz w:val="30"/>
        </w:rPr>
      </w:pPr>
      <w:r>
        <w:rPr>
          <w:rFonts w:hint="eastAsia" w:ascii="仿宋" w:hAnsi="仿宋" w:eastAsia="仿宋" w:cs="仿宋"/>
          <w:spacing w:val="20"/>
          <w:sz w:val="24"/>
        </w:rPr>
        <w:t xml:space="preserve">                               日     期：</w:t>
      </w:r>
      <w:r>
        <w:rPr>
          <w:rFonts w:hint="eastAsia" w:ascii="仿宋" w:hAnsi="仿宋" w:eastAsia="仿宋" w:cs="仿宋"/>
          <w:spacing w:val="20"/>
          <w:sz w:val="24"/>
          <w:u w:val="single"/>
        </w:rPr>
        <w:t xml:space="preserve">      </w:t>
      </w:r>
    </w:p>
    <w:p>
      <w:pPr>
        <w:spacing w:line="360" w:lineRule="auto"/>
        <w:jc w:val="center"/>
        <w:rPr>
          <w:rFonts w:ascii="仿宋" w:hAnsi="仿宋" w:eastAsia="仿宋" w:cs="仿宋"/>
          <w:sz w:val="30"/>
        </w:rPr>
      </w:pPr>
    </w:p>
    <w:p>
      <w:pPr>
        <w:autoSpaceDE w:val="0"/>
        <w:autoSpaceDN w:val="0"/>
        <w:adjustRightInd w:val="0"/>
        <w:spacing w:line="400" w:lineRule="exact"/>
        <w:jc w:val="center"/>
        <w:rPr>
          <w:rFonts w:ascii="仿宋" w:hAnsi="仿宋" w:eastAsia="仿宋" w:cs="仿宋"/>
          <w:sz w:val="30"/>
        </w:rPr>
      </w:pPr>
    </w:p>
    <w:p>
      <w:pPr>
        <w:pStyle w:val="7"/>
        <w:rPr>
          <w:rFonts w:ascii="仿宋" w:hAnsi="仿宋" w:eastAsia="仿宋" w:cs="仿宋"/>
          <w:sz w:val="30"/>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72"/>
        <w:rPr>
          <w:rFonts w:ascii="仿宋" w:hAnsi="仿宋" w:eastAsia="仿宋" w:cs="仿宋_GB2312"/>
          <w:sz w:val="24"/>
          <w:szCs w:val="24"/>
        </w:rPr>
      </w:pPr>
    </w:p>
    <w:p>
      <w:pPr>
        <w:pStyle w:val="4"/>
        <w:spacing w:before="240" w:after="240"/>
        <w:ind w:firstLine="0" w:firstLineChars="0"/>
        <w:jc w:val="center"/>
        <w:rPr>
          <w:rFonts w:ascii="仿宋" w:hAnsi="仿宋" w:eastAsia="仿宋" w:cs="仿宋"/>
        </w:rPr>
      </w:pPr>
      <w:bookmarkStart w:id="485" w:name="_Toc3334"/>
      <w:bookmarkStart w:id="486" w:name="_Toc5705"/>
      <w:bookmarkStart w:id="487" w:name="_Toc20793"/>
      <w:bookmarkStart w:id="488" w:name="_Toc24132"/>
      <w:bookmarkStart w:id="489" w:name="_Toc1265"/>
      <w:bookmarkStart w:id="490" w:name="_Toc3759"/>
      <w:bookmarkStart w:id="491" w:name="_Toc29744"/>
      <w:bookmarkStart w:id="492" w:name="_Toc16340"/>
      <w:bookmarkStart w:id="493" w:name="_Toc16079"/>
      <w:bookmarkStart w:id="494" w:name="_Toc27678"/>
      <w:bookmarkStart w:id="495" w:name="_Toc12328"/>
      <w:bookmarkStart w:id="496" w:name="_Toc6774"/>
      <w:r>
        <w:rPr>
          <w:rFonts w:hint="eastAsia" w:ascii="仿宋" w:hAnsi="仿宋" w:eastAsia="仿宋" w:cs="仿宋"/>
        </w:rPr>
        <w:t>12、其他（不得出现报价）</w:t>
      </w:r>
      <w:bookmarkEnd w:id="485"/>
      <w:bookmarkEnd w:id="486"/>
      <w:bookmarkEnd w:id="487"/>
      <w:bookmarkEnd w:id="488"/>
      <w:bookmarkEnd w:id="489"/>
      <w:bookmarkEnd w:id="490"/>
      <w:bookmarkEnd w:id="491"/>
      <w:bookmarkEnd w:id="492"/>
      <w:bookmarkEnd w:id="493"/>
      <w:bookmarkEnd w:id="494"/>
      <w:bookmarkEnd w:id="495"/>
      <w:bookmarkEnd w:id="496"/>
    </w:p>
    <w:p>
      <w:pPr>
        <w:pStyle w:val="65"/>
        <w:spacing w:line="360" w:lineRule="auto"/>
        <w:ind w:firstLine="480" w:firstLineChars="200"/>
        <w:rPr>
          <w:rFonts w:ascii="仿宋" w:hAnsi="仿宋" w:eastAsia="仿宋" w:cs="仿宋"/>
          <w:sz w:val="24"/>
        </w:rPr>
      </w:pPr>
      <w:r>
        <w:rPr>
          <w:rFonts w:hint="eastAsia" w:ascii="仿宋" w:hAnsi="仿宋" w:eastAsia="仿宋" w:cs="仿宋"/>
          <w:sz w:val="24"/>
        </w:rPr>
        <w:t>除招标文件规定的资信商务及技术文件要求格式外，投标人还可以提供如下证明材料：</w:t>
      </w:r>
    </w:p>
    <w:p>
      <w:pPr>
        <w:pStyle w:val="65"/>
        <w:spacing w:line="360" w:lineRule="auto"/>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投标人业绩证明；</w:t>
      </w:r>
    </w:p>
    <w:p>
      <w:pPr>
        <w:pStyle w:val="65"/>
        <w:spacing w:line="360" w:lineRule="auto"/>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投标人认为可以证明其资信商务及技术方面的其他材料；</w:t>
      </w:r>
    </w:p>
    <w:p>
      <w:pPr>
        <w:pStyle w:val="5"/>
        <w:rPr>
          <w:rFonts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 3 \* GB2 </w:instrText>
      </w:r>
      <w:r>
        <w:rPr>
          <w:rFonts w:hint="eastAsia" w:ascii="仿宋" w:hAnsi="仿宋" w:eastAsia="仿宋" w:cs="仿宋"/>
          <w:sz w:val="24"/>
          <w:szCs w:val="21"/>
        </w:rPr>
        <w:fldChar w:fldCharType="separate"/>
      </w:r>
      <w:r>
        <w:rPr>
          <w:rFonts w:hint="eastAsia" w:ascii="仿宋" w:hAnsi="仿宋" w:eastAsia="仿宋" w:cs="仿宋"/>
          <w:sz w:val="24"/>
          <w:szCs w:val="21"/>
        </w:rPr>
        <w:t>⑶</w:t>
      </w:r>
      <w:r>
        <w:rPr>
          <w:rFonts w:hint="eastAsia" w:ascii="仿宋" w:hAnsi="仿宋" w:eastAsia="仿宋" w:cs="仿宋"/>
          <w:sz w:val="24"/>
          <w:szCs w:val="21"/>
        </w:rPr>
        <w:fldChar w:fldCharType="end"/>
      </w:r>
      <w:r>
        <w:rPr>
          <w:rFonts w:hint="eastAsia" w:ascii="仿宋" w:hAnsi="仿宋" w:eastAsia="仿宋" w:cs="仿宋"/>
          <w:sz w:val="24"/>
          <w:szCs w:val="21"/>
        </w:rPr>
        <w:t>格式自拟。</w:t>
      </w:r>
    </w:p>
    <w:p>
      <w:pPr>
        <w:widowControl/>
        <w:snapToGrid w:val="0"/>
        <w:spacing w:line="360" w:lineRule="auto"/>
        <w:ind w:firstLine="480" w:firstLineChars="200"/>
        <w:textAlignment w:val="baseline"/>
        <w:rPr>
          <w:rFonts w:ascii="仿宋" w:hAnsi="仿宋" w:eastAsia="仿宋" w:cs="仿宋"/>
          <w:sz w:val="24"/>
        </w:rPr>
      </w:pPr>
    </w:p>
    <w:p>
      <w:pPr>
        <w:pStyle w:val="4"/>
        <w:spacing w:before="240" w:after="240"/>
        <w:ind w:firstLine="0" w:firstLineChars="0"/>
        <w:jc w:val="center"/>
        <w:rPr>
          <w:rFonts w:ascii="仿宋" w:hAnsi="仿宋" w:eastAsia="仿宋" w:cs="仿宋"/>
        </w:rPr>
      </w:pPr>
      <w:bookmarkStart w:id="497" w:name="_Toc194"/>
      <w:bookmarkStart w:id="498" w:name="_Toc3139"/>
      <w:bookmarkStart w:id="499" w:name="_Toc13930"/>
      <w:bookmarkStart w:id="500" w:name="_Toc25327"/>
      <w:bookmarkStart w:id="501" w:name="_Toc12094"/>
      <w:bookmarkStart w:id="502" w:name="_Toc8755"/>
      <w:bookmarkStart w:id="503" w:name="_Toc11350"/>
      <w:bookmarkStart w:id="504" w:name="_Toc31066"/>
      <w:r>
        <w:rPr>
          <w:rFonts w:hint="eastAsia" w:ascii="仿宋" w:hAnsi="仿宋" w:eastAsia="仿宋" w:cs="仿宋"/>
        </w:rPr>
        <w:t>13、评标办法中要求提供的其他资料（不得出现报价）</w:t>
      </w:r>
      <w:bookmarkEnd w:id="497"/>
      <w:bookmarkEnd w:id="498"/>
      <w:bookmarkEnd w:id="499"/>
      <w:bookmarkEnd w:id="500"/>
      <w:bookmarkEnd w:id="501"/>
      <w:bookmarkEnd w:id="502"/>
      <w:bookmarkEnd w:id="503"/>
      <w:bookmarkEnd w:id="504"/>
    </w:p>
    <w:p>
      <w:pPr>
        <w:snapToGrid w:val="0"/>
        <w:spacing w:line="400" w:lineRule="exact"/>
        <w:jc w:val="center"/>
        <w:textAlignment w:val="baseline"/>
        <w:rPr>
          <w:rFonts w:ascii="仿宋" w:hAnsi="仿宋" w:eastAsia="仿宋" w:cs="仿宋"/>
          <w:sz w:val="30"/>
        </w:rPr>
      </w:pPr>
    </w:p>
    <w:p>
      <w:pPr>
        <w:snapToGrid w:val="0"/>
        <w:spacing w:line="400" w:lineRule="exact"/>
        <w:jc w:val="center"/>
        <w:textAlignment w:val="baseline"/>
        <w:rPr>
          <w:rFonts w:ascii="仿宋" w:hAnsi="仿宋" w:eastAsia="仿宋" w:cs="仿宋"/>
          <w:sz w:val="30"/>
        </w:rPr>
      </w:pPr>
    </w:p>
    <w:p>
      <w:pPr>
        <w:snapToGrid w:val="0"/>
        <w:spacing w:line="400" w:lineRule="exact"/>
        <w:jc w:val="center"/>
        <w:textAlignment w:val="baseline"/>
        <w:rPr>
          <w:rFonts w:ascii="仿宋" w:hAnsi="仿宋" w:eastAsia="仿宋" w:cs="仿宋"/>
          <w:sz w:val="30"/>
        </w:rPr>
      </w:pPr>
    </w:p>
    <w:p>
      <w:pPr>
        <w:snapToGrid w:val="0"/>
        <w:jc w:val="center"/>
        <w:textAlignment w:val="baseline"/>
        <w:rPr>
          <w:rFonts w:ascii="仿宋" w:hAnsi="仿宋" w:eastAsia="仿宋" w:cs="仿宋"/>
          <w:b/>
          <w:sz w:val="32"/>
        </w:rPr>
      </w:pPr>
    </w:p>
    <w:p>
      <w:pPr>
        <w:pStyle w:val="5"/>
        <w:snapToGrid w:val="0"/>
        <w:textAlignment w:val="baseline"/>
        <w:rPr>
          <w:rFonts w:ascii="仿宋" w:hAnsi="仿宋" w:eastAsia="仿宋" w:cs="仿宋"/>
        </w:rPr>
      </w:pPr>
    </w:p>
    <w:p>
      <w:pPr>
        <w:pStyle w:val="72"/>
        <w:snapToGrid w:val="0"/>
        <w:spacing w:line="360" w:lineRule="auto"/>
        <w:textAlignment w:val="baseline"/>
        <w:rPr>
          <w:rFonts w:ascii="仿宋" w:hAnsi="仿宋" w:eastAsia="仿宋" w:cs="仿宋"/>
          <w:b/>
          <w:bCs/>
          <w:sz w:val="24"/>
        </w:rPr>
      </w:pPr>
    </w:p>
    <w:p>
      <w:pPr>
        <w:snapToGrid w:val="0"/>
        <w:textAlignment w:val="baseline"/>
        <w:rPr>
          <w:rFonts w:ascii="仿宋" w:hAnsi="仿宋" w:eastAsia="仿宋" w:cs="仿宋"/>
          <w:sz w:val="32"/>
          <w:szCs w:val="32"/>
        </w:rPr>
      </w:pPr>
      <w:bookmarkStart w:id="505" w:name="_Toc530643955"/>
      <w:bookmarkStart w:id="506" w:name="_Toc119229667"/>
      <w:r>
        <w:rPr>
          <w:rFonts w:hint="eastAsia" w:ascii="仿宋" w:hAnsi="仿宋" w:eastAsia="仿宋" w:cs="仿宋"/>
          <w:sz w:val="32"/>
          <w:szCs w:val="32"/>
        </w:rPr>
        <w:br w:type="page"/>
      </w:r>
    </w:p>
    <w:p>
      <w:pPr>
        <w:pStyle w:val="4"/>
        <w:snapToGrid w:val="0"/>
        <w:spacing w:before="240" w:after="240"/>
        <w:ind w:firstLine="0" w:firstLineChars="0"/>
        <w:jc w:val="center"/>
        <w:textAlignment w:val="baseline"/>
        <w:rPr>
          <w:rFonts w:ascii="仿宋" w:hAnsi="仿宋" w:eastAsia="仿宋" w:cs="仿宋"/>
          <w:sz w:val="44"/>
          <w:szCs w:val="44"/>
        </w:rPr>
      </w:pPr>
    </w:p>
    <w:p>
      <w:pPr>
        <w:pStyle w:val="4"/>
        <w:snapToGrid w:val="0"/>
        <w:spacing w:before="240" w:after="240"/>
        <w:ind w:firstLine="0" w:firstLineChars="0"/>
        <w:jc w:val="center"/>
        <w:textAlignment w:val="baseline"/>
        <w:rPr>
          <w:rFonts w:ascii="仿宋" w:hAnsi="仿宋" w:eastAsia="仿宋" w:cs="仿宋"/>
          <w:sz w:val="44"/>
          <w:szCs w:val="44"/>
        </w:rPr>
      </w:pPr>
    </w:p>
    <w:p>
      <w:pPr>
        <w:pStyle w:val="4"/>
        <w:snapToGrid w:val="0"/>
        <w:spacing w:before="240" w:after="240"/>
        <w:ind w:firstLine="0" w:firstLineChars="0"/>
        <w:jc w:val="center"/>
        <w:textAlignment w:val="baseline"/>
        <w:rPr>
          <w:rFonts w:ascii="仿宋" w:hAnsi="仿宋" w:eastAsia="仿宋" w:cs="仿宋"/>
          <w:sz w:val="44"/>
          <w:szCs w:val="44"/>
        </w:rPr>
      </w:pPr>
    </w:p>
    <w:p>
      <w:pPr>
        <w:pStyle w:val="4"/>
        <w:snapToGrid w:val="0"/>
        <w:spacing w:before="240" w:after="240"/>
        <w:ind w:firstLine="0" w:firstLineChars="0"/>
        <w:jc w:val="center"/>
        <w:textAlignment w:val="baseline"/>
        <w:rPr>
          <w:rFonts w:ascii="仿宋" w:hAnsi="仿宋" w:eastAsia="仿宋" w:cs="仿宋"/>
          <w:sz w:val="44"/>
          <w:szCs w:val="44"/>
        </w:rPr>
      </w:pPr>
    </w:p>
    <w:p>
      <w:pPr>
        <w:pStyle w:val="4"/>
        <w:snapToGrid w:val="0"/>
        <w:spacing w:before="240" w:after="240"/>
        <w:ind w:firstLine="0" w:firstLineChars="0"/>
        <w:jc w:val="center"/>
        <w:textAlignment w:val="baseline"/>
        <w:rPr>
          <w:rFonts w:ascii="仿宋" w:hAnsi="仿宋" w:eastAsia="仿宋" w:cs="仿宋"/>
          <w:sz w:val="44"/>
          <w:szCs w:val="44"/>
        </w:rPr>
      </w:pPr>
    </w:p>
    <w:p>
      <w:pPr>
        <w:pStyle w:val="4"/>
        <w:snapToGrid w:val="0"/>
        <w:spacing w:before="240" w:after="240"/>
        <w:ind w:firstLine="0" w:firstLineChars="0"/>
        <w:jc w:val="center"/>
        <w:textAlignment w:val="baseline"/>
        <w:rPr>
          <w:rFonts w:ascii="仿宋" w:hAnsi="仿宋" w:eastAsia="仿宋" w:cs="仿宋"/>
          <w:sz w:val="44"/>
          <w:szCs w:val="44"/>
        </w:rPr>
      </w:pPr>
      <w:bookmarkStart w:id="507" w:name="_Toc19731"/>
      <w:bookmarkStart w:id="508" w:name="_Toc26921"/>
      <w:bookmarkStart w:id="509" w:name="_Toc4858"/>
      <w:bookmarkStart w:id="510" w:name="_Toc15909"/>
      <w:bookmarkStart w:id="511" w:name="_Toc5475"/>
      <w:bookmarkStart w:id="512" w:name="_Toc9283"/>
      <w:bookmarkStart w:id="513" w:name="_Toc14458"/>
      <w:bookmarkStart w:id="514" w:name="_Toc1128"/>
      <w:r>
        <w:rPr>
          <w:rFonts w:hint="eastAsia" w:ascii="仿宋" w:hAnsi="仿宋" w:eastAsia="仿宋" w:cs="仿宋"/>
          <w:sz w:val="44"/>
          <w:szCs w:val="44"/>
        </w:rPr>
        <w:t>三、报价文件格式</w:t>
      </w:r>
      <w:bookmarkEnd w:id="507"/>
      <w:bookmarkEnd w:id="508"/>
      <w:bookmarkEnd w:id="509"/>
      <w:bookmarkEnd w:id="510"/>
      <w:bookmarkEnd w:id="511"/>
      <w:bookmarkEnd w:id="512"/>
      <w:bookmarkEnd w:id="513"/>
      <w:bookmarkEnd w:id="514"/>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widowControl/>
        <w:snapToGrid w:val="0"/>
        <w:spacing w:line="480" w:lineRule="auto"/>
        <w:ind w:firstLine="640" w:firstLineChars="200"/>
        <w:textAlignment w:val="baseline"/>
        <w:rPr>
          <w:rFonts w:ascii="仿宋" w:hAnsi="仿宋" w:eastAsia="仿宋" w:cs="仿宋"/>
          <w:sz w:val="32"/>
          <w:szCs w:val="32"/>
        </w:rPr>
      </w:pPr>
    </w:p>
    <w:p>
      <w:pPr>
        <w:pStyle w:val="9"/>
        <w:rPr>
          <w:rFonts w:ascii="仿宋" w:hAnsi="仿宋" w:eastAsia="仿宋"/>
        </w:rPr>
      </w:pPr>
    </w:p>
    <w:p>
      <w:pPr>
        <w:rPr>
          <w:rFonts w:ascii="仿宋" w:hAnsi="仿宋" w:eastAsia="仿宋"/>
        </w:rPr>
      </w:pPr>
    </w:p>
    <w:p>
      <w:pPr>
        <w:pStyle w:val="4"/>
        <w:spacing w:before="240" w:after="240"/>
        <w:ind w:firstLine="0" w:firstLineChars="0"/>
        <w:jc w:val="center"/>
        <w:rPr>
          <w:rFonts w:ascii="仿宋" w:hAnsi="仿宋" w:eastAsia="仿宋" w:cs="Times New Roman"/>
          <w:sz w:val="32"/>
          <w:szCs w:val="32"/>
        </w:rPr>
      </w:pPr>
      <w:bookmarkStart w:id="515" w:name="_Toc18316"/>
      <w:bookmarkStart w:id="516" w:name="_Toc30136"/>
      <w:bookmarkStart w:id="517" w:name="_Toc15184"/>
      <w:bookmarkStart w:id="518" w:name="_Toc15680"/>
      <w:bookmarkStart w:id="519" w:name="_Toc14142"/>
      <w:bookmarkStart w:id="520" w:name="_Toc3562"/>
      <w:bookmarkStart w:id="521" w:name="_Toc21871"/>
      <w:bookmarkStart w:id="522" w:name="_Toc7447"/>
      <w:bookmarkStart w:id="523" w:name="_Toc10173"/>
      <w:r>
        <w:rPr>
          <w:rFonts w:ascii="仿宋" w:hAnsi="仿宋" w:eastAsia="仿宋" w:cs="仿宋"/>
          <w:sz w:val="32"/>
          <w:szCs w:val="32"/>
        </w:rPr>
        <w:t>1</w:t>
      </w:r>
      <w:r>
        <w:rPr>
          <w:rFonts w:hint="eastAsia" w:ascii="仿宋" w:hAnsi="仿宋" w:eastAsia="仿宋" w:cs="仿宋"/>
          <w:sz w:val="32"/>
          <w:szCs w:val="32"/>
        </w:rPr>
        <w:t>、开标一览表</w:t>
      </w:r>
      <w:bookmarkEnd w:id="515"/>
      <w:bookmarkEnd w:id="516"/>
      <w:bookmarkEnd w:id="517"/>
      <w:bookmarkEnd w:id="518"/>
      <w:bookmarkEnd w:id="519"/>
      <w:bookmarkEnd w:id="520"/>
      <w:bookmarkEnd w:id="521"/>
      <w:bookmarkEnd w:id="522"/>
      <w:bookmarkEnd w:id="523"/>
    </w:p>
    <w:p>
      <w:pPr>
        <w:pStyle w:val="63"/>
        <w:spacing w:line="440" w:lineRule="exact"/>
        <w:rPr>
          <w:rFonts w:ascii="仿宋" w:hAnsi="仿宋" w:eastAsia="仿宋" w:cs="仿宋"/>
          <w:sz w:val="24"/>
          <w:szCs w:val="24"/>
        </w:rPr>
      </w:pPr>
      <w:bookmarkStart w:id="524" w:name="_Toc493956073"/>
      <w:r>
        <w:rPr>
          <w:rFonts w:hint="eastAsia" w:ascii="仿宋" w:hAnsi="仿宋" w:eastAsia="仿宋" w:cs="仿宋"/>
          <w:sz w:val="24"/>
          <w:szCs w:val="24"/>
        </w:rPr>
        <w:t>采购编号：</w:t>
      </w: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rPr>
        <w:t xml:space="preserve"> </w:t>
      </w:r>
    </w:p>
    <w:p>
      <w:pPr>
        <w:pStyle w:val="63"/>
        <w:spacing w:line="440" w:lineRule="exact"/>
        <w:rPr>
          <w:rFonts w:ascii="仿宋" w:hAnsi="仿宋" w:eastAsia="仿宋" w:cs="仿宋"/>
          <w:sz w:val="24"/>
          <w:szCs w:val="24"/>
        </w:rPr>
      </w:pPr>
    </w:p>
    <w:tbl>
      <w:tblPr>
        <w:tblStyle w:val="24"/>
        <w:tblW w:w="8699"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624"/>
        <w:gridCol w:w="6075"/>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32" w:hRule="atLeast"/>
          <w:jc w:val="center"/>
        </w:trPr>
        <w:tc>
          <w:tcPr>
            <w:tcW w:w="2624" w:type="dxa"/>
            <w:tcBorders>
              <w:top w:val="double" w:color="000000" w:sz="6" w:space="0"/>
              <w:bottom w:val="single" w:color="000000" w:sz="6" w:space="0"/>
              <w:right w:val="single" w:color="000000" w:sz="6" w:space="0"/>
            </w:tcBorders>
            <w:vAlign w:val="center"/>
          </w:tcPr>
          <w:p>
            <w:pPr>
              <w:spacing w:line="400" w:lineRule="exact"/>
              <w:jc w:val="center"/>
              <w:rPr>
                <w:rFonts w:ascii="仿宋" w:hAnsi="仿宋" w:eastAsia="仿宋" w:cs="仿宋"/>
                <w:caps/>
                <w:spacing w:val="20"/>
                <w:kern w:val="0"/>
                <w:sz w:val="24"/>
                <w:szCs w:val="24"/>
              </w:rPr>
            </w:pPr>
            <w:r>
              <w:rPr>
                <w:rFonts w:hint="eastAsia" w:ascii="仿宋" w:hAnsi="仿宋" w:eastAsia="仿宋" w:cs="仿宋"/>
                <w:sz w:val="24"/>
                <w:szCs w:val="24"/>
              </w:rPr>
              <w:t>项目名称</w:t>
            </w:r>
          </w:p>
        </w:tc>
        <w:tc>
          <w:tcPr>
            <w:tcW w:w="6075" w:type="dxa"/>
            <w:tcBorders>
              <w:top w:val="double" w:color="000000" w:sz="6" w:space="0"/>
              <w:left w:val="single" w:color="000000" w:sz="6" w:space="0"/>
              <w:bottom w:val="single" w:color="000000" w:sz="6" w:space="0"/>
            </w:tcBorders>
            <w:vAlign w:val="center"/>
          </w:tcPr>
          <w:p>
            <w:pPr>
              <w:snapToGrid w:val="0"/>
              <w:spacing w:line="400" w:lineRule="exact"/>
              <w:jc w:val="center"/>
              <w:rPr>
                <w:rFonts w:ascii="仿宋" w:hAnsi="仿宋" w:eastAsia="仿宋" w:cs="仿宋"/>
                <w:caps/>
                <w:spacing w:val="20"/>
                <w:sz w:val="24"/>
                <w:szCs w:val="24"/>
              </w:rPr>
            </w:pPr>
            <w:r>
              <w:rPr>
                <w:rFonts w:hint="eastAsia" w:ascii="仿宋" w:hAnsi="仿宋" w:eastAsia="仿宋" w:cs="仿宋"/>
                <w:sz w:val="24"/>
                <w:szCs w:val="24"/>
              </w:rPr>
              <w:t>投标报价（元/吨）</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999" w:hRule="atLeast"/>
          <w:jc w:val="center"/>
        </w:trPr>
        <w:tc>
          <w:tcPr>
            <w:tcW w:w="2624" w:type="dxa"/>
            <w:tcBorders>
              <w:top w:val="single" w:color="000000" w:sz="6" w:space="0"/>
              <w:bottom w:val="double" w:color="000000" w:sz="6" w:space="0"/>
              <w:right w:val="single" w:color="000000" w:sz="6" w:space="0"/>
            </w:tcBorders>
            <w:vAlign w:val="center"/>
          </w:tcPr>
          <w:p>
            <w:pPr>
              <w:spacing w:line="400" w:lineRule="exact"/>
              <w:jc w:val="center"/>
              <w:rPr>
                <w:rFonts w:ascii="仿宋" w:hAnsi="仿宋" w:eastAsia="仿宋" w:cs="仿宋"/>
                <w:spacing w:val="20"/>
                <w:sz w:val="24"/>
                <w:szCs w:val="24"/>
              </w:rPr>
            </w:pPr>
            <w:r>
              <w:rPr>
                <w:rFonts w:hint="eastAsia" w:ascii="仿宋" w:hAnsi="仿宋" w:eastAsia="仿宋" w:cs="仿宋"/>
                <w:sz w:val="24"/>
                <w:szCs w:val="24"/>
              </w:rPr>
              <w:t>景宁畲族自治县环卫清洁服务有限公司生活垃圾焚烧发电厂飞灰处置服务项目</w:t>
            </w:r>
            <w:r>
              <w:rPr>
                <w:rFonts w:hint="eastAsia" w:ascii="仿宋" w:hAnsi="仿宋" w:eastAsia="仿宋" w:cs="仿宋"/>
                <w:sz w:val="24"/>
                <w:szCs w:val="24"/>
                <w:lang w:eastAsia="zh-CN"/>
              </w:rPr>
              <w:t>（第二次）</w:t>
            </w:r>
            <w:r>
              <w:rPr>
                <w:rFonts w:hint="eastAsia" w:ascii="仿宋" w:hAnsi="仿宋" w:eastAsia="仿宋" w:cs="仿宋"/>
                <w:sz w:val="24"/>
                <w:szCs w:val="24"/>
              </w:rPr>
              <w:t>（非政府采购项目）</w:t>
            </w:r>
          </w:p>
        </w:tc>
        <w:tc>
          <w:tcPr>
            <w:tcW w:w="6075" w:type="dxa"/>
            <w:tcBorders>
              <w:top w:val="single" w:color="000000" w:sz="6" w:space="0"/>
              <w:left w:val="single" w:color="000000" w:sz="6" w:space="0"/>
              <w:bottom w:val="double" w:color="000000" w:sz="6" w:space="0"/>
            </w:tcBorders>
            <w:vAlign w:val="center"/>
          </w:tcPr>
          <w:p>
            <w:pPr>
              <w:snapToGrid w:val="0"/>
              <w:spacing w:line="400" w:lineRule="exact"/>
              <w:rPr>
                <w:rFonts w:ascii="仿宋" w:hAnsi="仿宋" w:eastAsia="仿宋" w:cs="仿宋"/>
                <w:sz w:val="24"/>
                <w:szCs w:val="24"/>
              </w:rPr>
            </w:pPr>
            <w:r>
              <w:rPr>
                <w:rFonts w:hint="eastAsia" w:ascii="仿宋" w:hAnsi="仿宋" w:eastAsia="仿宋" w:cs="仿宋"/>
                <w:sz w:val="24"/>
                <w:szCs w:val="24"/>
              </w:rPr>
              <w:t xml:space="preserve">小写： </w:t>
            </w:r>
          </w:p>
          <w:p>
            <w:pPr>
              <w:snapToGrid w:val="0"/>
              <w:spacing w:line="400" w:lineRule="exact"/>
              <w:jc w:val="center"/>
              <w:rPr>
                <w:rFonts w:ascii="仿宋" w:hAnsi="仿宋" w:eastAsia="仿宋" w:cs="仿宋"/>
                <w:sz w:val="24"/>
                <w:szCs w:val="24"/>
              </w:rPr>
            </w:pPr>
          </w:p>
          <w:p>
            <w:pPr>
              <w:snapToGrid w:val="0"/>
              <w:spacing w:line="400" w:lineRule="exact"/>
              <w:jc w:val="center"/>
              <w:rPr>
                <w:rFonts w:ascii="仿宋" w:hAnsi="仿宋" w:eastAsia="仿宋" w:cs="仿宋"/>
                <w:sz w:val="24"/>
                <w:szCs w:val="24"/>
              </w:rPr>
            </w:pPr>
          </w:p>
          <w:p>
            <w:pPr>
              <w:snapToGrid w:val="0"/>
              <w:spacing w:line="400" w:lineRule="exact"/>
              <w:rPr>
                <w:rFonts w:ascii="仿宋" w:hAnsi="仿宋" w:eastAsia="仿宋" w:cs="仿宋"/>
                <w:spacing w:val="20"/>
                <w:sz w:val="24"/>
                <w:szCs w:val="24"/>
              </w:rPr>
            </w:pPr>
            <w:r>
              <w:rPr>
                <w:rFonts w:hint="eastAsia" w:ascii="仿宋" w:hAnsi="仿宋" w:eastAsia="仿宋" w:cs="仿宋"/>
                <w:sz w:val="24"/>
                <w:szCs w:val="24"/>
              </w:rPr>
              <w:t xml:space="preserve">大写： </w:t>
            </w:r>
          </w:p>
        </w:tc>
      </w:tr>
    </w:tbl>
    <w:p>
      <w:pPr>
        <w:pStyle w:val="63"/>
        <w:spacing w:line="360" w:lineRule="auto"/>
        <w:rPr>
          <w:rFonts w:ascii="仿宋" w:hAnsi="仿宋" w:eastAsia="仿宋" w:cs="Times New Roman"/>
          <w:sz w:val="24"/>
          <w:szCs w:val="24"/>
        </w:rPr>
      </w:pPr>
      <w:r>
        <w:rPr>
          <w:rFonts w:hint="eastAsia" w:ascii="仿宋" w:hAnsi="仿宋" w:eastAsia="仿宋" w:cs="仿宋"/>
          <w:sz w:val="24"/>
          <w:szCs w:val="24"/>
        </w:rPr>
        <w:t>注：</w:t>
      </w:r>
    </w:p>
    <w:p>
      <w:pPr>
        <w:pStyle w:val="63"/>
        <w:autoSpaceDE w:val="0"/>
        <w:autoSpaceDN w:val="0"/>
        <w:adjustRightInd w:val="0"/>
        <w:spacing w:line="360" w:lineRule="auto"/>
        <w:ind w:firstLine="482" w:firstLineChars="200"/>
        <w:rPr>
          <w:rFonts w:ascii="仿宋" w:hAnsi="仿宋" w:eastAsia="仿宋" w:cs="Times New Roman"/>
          <w:sz w:val="24"/>
          <w:szCs w:val="24"/>
        </w:rPr>
      </w:pPr>
      <w:r>
        <w:rPr>
          <w:rFonts w:hint="eastAsia" w:ascii="仿宋" w:hAnsi="仿宋" w:eastAsia="仿宋" w:cs="仿宋"/>
          <w:b/>
          <w:bCs/>
          <w:sz w:val="24"/>
          <w:szCs w:val="24"/>
        </w:rPr>
        <w:t>▲</w:t>
      </w:r>
      <w:r>
        <w:rPr>
          <w:rFonts w:hint="eastAsia" w:ascii="仿宋" w:hAnsi="仿宋" w:eastAsia="仿宋" w:cs="仿宋"/>
          <w:sz w:val="24"/>
          <w:szCs w:val="24"/>
        </w:rPr>
        <w:t>1</w:t>
      </w:r>
      <w:r>
        <w:rPr>
          <w:rFonts w:ascii="仿宋" w:hAnsi="仿宋" w:eastAsia="仿宋" w:cs="仿宋"/>
          <w:sz w:val="24"/>
          <w:szCs w:val="24"/>
        </w:rPr>
        <w:t>.</w:t>
      </w:r>
      <w:r>
        <w:rPr>
          <w:rFonts w:hint="eastAsia" w:ascii="仿宋" w:hAnsi="仿宋" w:eastAsia="仿宋" w:cs="仿宋"/>
          <w:sz w:val="24"/>
          <w:szCs w:val="24"/>
        </w:rPr>
        <w:t>报价一经涂改，应在涂改处加盖单位公章或由负责人或授权代表签字或盖章，否则其报价文件不进入评定，报价得分为</w:t>
      </w:r>
      <w:r>
        <w:rPr>
          <w:rFonts w:ascii="仿宋" w:hAnsi="仿宋" w:eastAsia="仿宋" w:cs="仿宋"/>
          <w:sz w:val="24"/>
          <w:szCs w:val="24"/>
        </w:rPr>
        <w:t>0</w:t>
      </w:r>
      <w:r>
        <w:rPr>
          <w:rFonts w:hint="eastAsia" w:ascii="仿宋" w:hAnsi="仿宋" w:eastAsia="仿宋" w:cs="仿宋"/>
          <w:sz w:val="24"/>
          <w:szCs w:val="24"/>
        </w:rPr>
        <w:t>，且不得推荐为中标候选人。</w:t>
      </w:r>
    </w:p>
    <w:p>
      <w:pPr>
        <w:pStyle w:val="63"/>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报价应包括该价格包含运输、工时、保险、税金、安装、调试与试运行、培训、保修、售后服务费、配套费、计量费等一切与之相关的所有费用。</w:t>
      </w:r>
    </w:p>
    <w:p>
      <w:pPr>
        <w:pStyle w:val="63"/>
        <w:spacing w:line="360" w:lineRule="auto"/>
        <w:rPr>
          <w:rFonts w:ascii="仿宋" w:hAnsi="仿宋" w:eastAsia="仿宋" w:cs="Times New Roman"/>
          <w:sz w:val="24"/>
          <w:szCs w:val="24"/>
        </w:rPr>
      </w:pPr>
    </w:p>
    <w:p>
      <w:pPr>
        <w:spacing w:line="360" w:lineRule="auto"/>
        <w:jc w:val="left"/>
        <w:rPr>
          <w:rFonts w:ascii="仿宋" w:hAnsi="仿宋" w:eastAsia="仿宋" w:cs="Times New Roman"/>
          <w:spacing w:val="20"/>
          <w:sz w:val="24"/>
          <w:szCs w:val="24"/>
        </w:rPr>
      </w:pPr>
    </w:p>
    <w:p>
      <w:pPr>
        <w:spacing w:line="360" w:lineRule="auto"/>
        <w:ind w:firstLine="2100" w:firstLineChars="750"/>
        <w:rPr>
          <w:rFonts w:ascii="仿宋" w:hAnsi="仿宋" w:eastAsia="仿宋" w:cs="仿宋"/>
          <w:spacing w:val="20"/>
          <w:sz w:val="24"/>
          <w:szCs w:val="24"/>
          <w:u w:val="single"/>
        </w:rPr>
      </w:pPr>
      <w:r>
        <w:rPr>
          <w:rFonts w:hint="eastAsia" w:ascii="仿宋" w:hAnsi="仿宋" w:eastAsia="仿宋" w:cs="仿宋"/>
          <w:spacing w:val="20"/>
          <w:sz w:val="24"/>
          <w:szCs w:val="24"/>
        </w:rPr>
        <w:t>负责人（或被委托人）签字或盖章：</w:t>
      </w:r>
    </w:p>
    <w:p>
      <w:pPr>
        <w:spacing w:line="360" w:lineRule="auto"/>
        <w:ind w:firstLine="4760" w:firstLineChars="1700"/>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p>
    <w:p>
      <w:pPr>
        <w:pStyle w:val="63"/>
        <w:tabs>
          <w:tab w:val="left" w:pos="1418"/>
        </w:tabs>
        <w:spacing w:line="360" w:lineRule="auto"/>
        <w:ind w:left="1418" w:hanging="567"/>
        <w:jc w:val="center"/>
        <w:rPr>
          <w:rFonts w:ascii="仿宋" w:hAnsi="仿宋" w:eastAsia="仿宋" w:cs="仿宋"/>
          <w:spacing w:val="20"/>
          <w:sz w:val="24"/>
          <w:szCs w:val="24"/>
          <w:u w:val="single"/>
        </w:rPr>
      </w:pPr>
      <w:r>
        <w:rPr>
          <w:rFonts w:ascii="仿宋" w:hAnsi="仿宋" w:eastAsia="仿宋" w:cs="仿宋"/>
          <w:spacing w:val="20"/>
          <w:sz w:val="24"/>
          <w:szCs w:val="24"/>
        </w:rPr>
        <w:t xml:space="preserve">             </w:t>
      </w:r>
      <w:r>
        <w:rPr>
          <w:rFonts w:hint="eastAsia" w:ascii="仿宋" w:hAnsi="仿宋" w:eastAsia="仿宋" w:cs="仿宋"/>
          <w:spacing w:val="20"/>
          <w:sz w:val="24"/>
          <w:szCs w:val="24"/>
        </w:rPr>
        <w:t>日期：</w:t>
      </w:r>
    </w:p>
    <w:p>
      <w:pPr>
        <w:pStyle w:val="75"/>
        <w:outlineLvl w:val="2"/>
        <w:rPr>
          <w:rFonts w:ascii="仿宋" w:hAnsi="仿宋" w:eastAsia="仿宋" w:cs="Times New Roman"/>
          <w:kern w:val="2"/>
        </w:rPr>
        <w:sectPr>
          <w:pgSz w:w="11906" w:h="16838"/>
          <w:pgMar w:top="1440" w:right="1758" w:bottom="1440" w:left="1758" w:header="851" w:footer="851" w:gutter="0"/>
          <w:cols w:space="720" w:num="1"/>
          <w:docGrid w:linePitch="312" w:charSpace="0"/>
        </w:sectPr>
      </w:pPr>
    </w:p>
    <w:bookmarkEnd w:id="524"/>
    <w:p>
      <w:pPr>
        <w:pStyle w:val="4"/>
        <w:snapToGrid w:val="0"/>
        <w:spacing w:before="240" w:after="240"/>
        <w:ind w:firstLine="0" w:firstLineChars="0"/>
        <w:jc w:val="center"/>
        <w:textAlignment w:val="baseline"/>
        <w:rPr>
          <w:rFonts w:ascii="仿宋" w:hAnsi="仿宋" w:eastAsia="仿宋" w:cs="仿宋"/>
          <w:sz w:val="32"/>
          <w:szCs w:val="32"/>
        </w:rPr>
      </w:pPr>
      <w:bookmarkStart w:id="525" w:name="_Toc12226"/>
      <w:bookmarkStart w:id="526" w:name="_Toc16768"/>
      <w:bookmarkStart w:id="527" w:name="_Toc26854"/>
      <w:bookmarkStart w:id="528" w:name="_Toc6388"/>
      <w:bookmarkStart w:id="529" w:name="_Toc3459"/>
      <w:bookmarkStart w:id="530" w:name="_Toc19602"/>
      <w:bookmarkStart w:id="531" w:name="_Toc32408"/>
      <w:bookmarkStart w:id="532" w:name="_Toc32050"/>
      <w:r>
        <w:rPr>
          <w:rFonts w:hint="eastAsia" w:ascii="仿宋" w:hAnsi="仿宋" w:eastAsia="仿宋" w:cs="仿宋"/>
          <w:sz w:val="32"/>
          <w:szCs w:val="32"/>
        </w:rPr>
        <w:t>四   投标文件封面及外层包装封面格式</w:t>
      </w:r>
      <w:bookmarkEnd w:id="505"/>
      <w:bookmarkEnd w:id="506"/>
      <w:bookmarkEnd w:id="525"/>
      <w:bookmarkEnd w:id="526"/>
      <w:bookmarkEnd w:id="527"/>
      <w:bookmarkEnd w:id="528"/>
      <w:bookmarkEnd w:id="529"/>
      <w:bookmarkEnd w:id="530"/>
      <w:bookmarkEnd w:id="531"/>
      <w:bookmarkEnd w:id="532"/>
    </w:p>
    <w:p>
      <w:pPr>
        <w:pStyle w:val="5"/>
        <w:snapToGrid w:val="0"/>
        <w:ind w:firstLine="1320" w:firstLineChars="300"/>
        <w:jc w:val="right"/>
        <w:textAlignment w:val="baseline"/>
        <w:rPr>
          <w:rFonts w:ascii="仿宋" w:hAnsi="仿宋" w:eastAsia="仿宋" w:cs="仿宋"/>
          <w:sz w:val="36"/>
        </w:rPr>
      </w:pPr>
      <w:r>
        <w:rPr>
          <w:rFonts w:hint="eastAsia" w:ascii="仿宋" w:hAnsi="仿宋" w:eastAsia="仿宋" w:cs="仿宋"/>
          <w:sz w:val="44"/>
        </w:rPr>
        <w:t>（正本）或（副本）</w:t>
      </w:r>
    </w:p>
    <w:p>
      <w:pPr>
        <w:pStyle w:val="5"/>
        <w:snapToGrid w:val="0"/>
        <w:spacing w:line="360" w:lineRule="auto"/>
        <w:ind w:firstLine="720"/>
        <w:textAlignment w:val="baseline"/>
        <w:rPr>
          <w:rFonts w:ascii="仿宋" w:hAnsi="仿宋" w:eastAsia="仿宋" w:cs="仿宋"/>
          <w:sz w:val="36"/>
        </w:rPr>
      </w:pPr>
    </w:p>
    <w:p>
      <w:pPr>
        <w:pStyle w:val="5"/>
        <w:snapToGrid w:val="0"/>
        <w:spacing w:line="360" w:lineRule="auto"/>
        <w:ind w:firstLine="720"/>
        <w:textAlignment w:val="baseline"/>
        <w:rPr>
          <w:rFonts w:ascii="仿宋" w:hAnsi="仿宋" w:eastAsia="仿宋" w:cs="仿宋"/>
          <w:sz w:val="36"/>
        </w:rPr>
      </w:pPr>
    </w:p>
    <w:p>
      <w:pPr>
        <w:pStyle w:val="5"/>
        <w:snapToGrid w:val="0"/>
        <w:spacing w:line="360" w:lineRule="auto"/>
        <w:ind w:firstLine="72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采购编号：</w:t>
      </w:r>
    </w:p>
    <w:p>
      <w:pPr>
        <w:pStyle w:val="5"/>
        <w:snapToGrid w:val="0"/>
        <w:spacing w:line="360" w:lineRule="auto"/>
        <w:ind w:firstLine="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项目名称：</w:t>
      </w:r>
    </w:p>
    <w:p>
      <w:pPr>
        <w:pStyle w:val="5"/>
        <w:snapToGrid w:val="0"/>
        <w:spacing w:line="360" w:lineRule="auto"/>
        <w:ind w:firstLine="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投标文件名称：资格审查文件/资信商务及技术文件/报价文件</w:t>
      </w:r>
    </w:p>
    <w:p>
      <w:pPr>
        <w:pStyle w:val="5"/>
        <w:snapToGrid w:val="0"/>
        <w:spacing w:line="360" w:lineRule="auto"/>
        <w:ind w:firstLine="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投标人名称（盖章）：</w:t>
      </w:r>
    </w:p>
    <w:p>
      <w:pPr>
        <w:pStyle w:val="5"/>
        <w:snapToGrid w:val="0"/>
        <w:spacing w:line="360" w:lineRule="auto"/>
        <w:ind w:firstLine="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投标人地址：</w:t>
      </w:r>
    </w:p>
    <w:p>
      <w:pPr>
        <w:pStyle w:val="5"/>
        <w:snapToGrid w:val="0"/>
        <w:spacing w:line="360" w:lineRule="auto"/>
        <w:ind w:firstLine="0"/>
        <w:textAlignment w:val="baseline"/>
        <w:rPr>
          <w:rFonts w:ascii="仿宋" w:hAnsi="仿宋" w:eastAsia="仿宋" w:cs="仿宋"/>
          <w:sz w:val="36"/>
        </w:rPr>
      </w:pPr>
    </w:p>
    <w:p>
      <w:pPr>
        <w:pStyle w:val="5"/>
        <w:snapToGrid w:val="0"/>
        <w:spacing w:line="360" w:lineRule="auto"/>
        <w:ind w:firstLine="0"/>
        <w:textAlignment w:val="baseline"/>
        <w:rPr>
          <w:rFonts w:ascii="仿宋" w:hAnsi="仿宋" w:eastAsia="仿宋" w:cs="仿宋"/>
          <w:sz w:val="36"/>
        </w:rPr>
      </w:pPr>
      <w:r>
        <w:rPr>
          <w:rFonts w:hint="eastAsia" w:ascii="仿宋" w:hAnsi="仿宋" w:eastAsia="仿宋" w:cs="仿宋"/>
          <w:sz w:val="36"/>
        </w:rPr>
        <w:t>负责人或委托代理人（签字或盖章）：</w:t>
      </w:r>
    </w:p>
    <w:p>
      <w:pPr>
        <w:pStyle w:val="5"/>
        <w:snapToGrid w:val="0"/>
        <w:spacing w:line="360" w:lineRule="auto"/>
        <w:ind w:firstLine="720"/>
        <w:textAlignment w:val="baseline"/>
        <w:rPr>
          <w:rFonts w:ascii="仿宋" w:hAnsi="仿宋" w:eastAsia="仿宋" w:cs="仿宋"/>
          <w:sz w:val="36"/>
        </w:rPr>
      </w:pPr>
    </w:p>
    <w:p>
      <w:pPr>
        <w:pStyle w:val="5"/>
        <w:snapToGrid w:val="0"/>
        <w:spacing w:line="360" w:lineRule="auto"/>
        <w:ind w:firstLine="0"/>
        <w:jc w:val="center"/>
        <w:textAlignment w:val="baseline"/>
        <w:rPr>
          <w:rFonts w:ascii="仿宋" w:hAnsi="仿宋" w:eastAsia="仿宋" w:cs="仿宋"/>
          <w:bCs/>
          <w:spacing w:val="20"/>
          <w:sz w:val="24"/>
        </w:rPr>
      </w:pPr>
      <w:r>
        <w:rPr>
          <w:rFonts w:hint="eastAsia" w:ascii="仿宋" w:hAnsi="仿宋" w:eastAsia="仿宋" w:cs="仿宋"/>
          <w:sz w:val="36"/>
        </w:rPr>
        <w:t>时间：在  年  月  日  时  分之前不得启封</w:t>
      </w:r>
    </w:p>
    <w:p>
      <w:pPr>
        <w:pStyle w:val="5"/>
        <w:snapToGrid w:val="0"/>
        <w:spacing w:line="360" w:lineRule="auto"/>
        <w:ind w:firstLine="4200" w:firstLineChars="2000"/>
        <w:textAlignment w:val="baseline"/>
        <w:rPr>
          <w:rFonts w:ascii="仿宋" w:hAnsi="仿宋" w:eastAsia="仿宋" w:cs="仿宋"/>
        </w:rPr>
      </w:pPr>
    </w:p>
    <w:p>
      <w:pPr>
        <w:snapToGrid w:val="0"/>
        <w:textAlignment w:val="baseline"/>
        <w:rPr>
          <w:rFonts w:ascii="仿宋" w:hAnsi="仿宋" w:eastAsia="仿宋" w:cs="仿宋"/>
          <w:sz w:val="20"/>
        </w:rPr>
        <w:sectPr>
          <w:footerReference r:id="rId11" w:type="default"/>
          <w:pgSz w:w="11906" w:h="16838"/>
          <w:pgMar w:top="1440" w:right="1758" w:bottom="1440" w:left="1758" w:header="851" w:footer="851" w:gutter="0"/>
          <w:cols w:space="720" w:num="1"/>
          <w:docGrid w:linePitch="312" w:charSpace="0"/>
        </w:sectPr>
      </w:pPr>
    </w:p>
    <w:p>
      <w:pPr>
        <w:pStyle w:val="4"/>
        <w:snapToGrid w:val="0"/>
        <w:spacing w:before="240" w:after="240"/>
        <w:ind w:firstLine="0" w:firstLineChars="0"/>
        <w:jc w:val="center"/>
        <w:textAlignment w:val="baseline"/>
        <w:rPr>
          <w:rFonts w:ascii="仿宋" w:hAnsi="仿宋" w:eastAsia="仿宋" w:cs="仿宋"/>
          <w:sz w:val="32"/>
          <w:szCs w:val="32"/>
        </w:rPr>
      </w:pPr>
      <w:bookmarkStart w:id="533" w:name="_Toc1541"/>
      <w:bookmarkStart w:id="534" w:name="_Toc10949"/>
      <w:bookmarkStart w:id="535" w:name="_Toc16793"/>
      <w:bookmarkStart w:id="536" w:name="_Toc8884"/>
      <w:bookmarkStart w:id="537" w:name="_Toc27836"/>
      <w:bookmarkStart w:id="538" w:name="_Toc21874"/>
      <w:bookmarkStart w:id="539" w:name="_Toc22439"/>
      <w:bookmarkStart w:id="540" w:name="_Toc23681"/>
      <w:r>
        <w:rPr>
          <w:rFonts w:hint="eastAsia" w:ascii="仿宋" w:hAnsi="仿宋" w:eastAsia="仿宋" w:cs="仿宋"/>
          <w:sz w:val="32"/>
          <w:szCs w:val="32"/>
        </w:rPr>
        <w:t>五  中标供应商公告内容</w:t>
      </w:r>
      <w:bookmarkEnd w:id="533"/>
      <w:bookmarkEnd w:id="534"/>
      <w:bookmarkEnd w:id="535"/>
      <w:bookmarkEnd w:id="536"/>
      <w:bookmarkEnd w:id="537"/>
      <w:bookmarkEnd w:id="538"/>
      <w:bookmarkEnd w:id="539"/>
      <w:bookmarkEnd w:id="540"/>
    </w:p>
    <w:p>
      <w:pPr>
        <w:snapToGrid w:val="0"/>
        <w:spacing w:line="360" w:lineRule="auto"/>
        <w:textAlignment w:val="baseline"/>
        <w:rPr>
          <w:rFonts w:ascii="仿宋" w:hAnsi="仿宋" w:eastAsia="仿宋" w:cs="仿宋"/>
          <w:sz w:val="24"/>
          <w:szCs w:val="24"/>
        </w:rPr>
      </w:pPr>
      <w:r>
        <w:rPr>
          <w:rFonts w:hint="eastAsia" w:ascii="仿宋" w:hAnsi="仿宋" w:eastAsia="仿宋" w:cs="仿宋"/>
          <w:sz w:val="24"/>
          <w:szCs w:val="24"/>
        </w:rPr>
        <w:t>采购编号：             项目名称：</w:t>
      </w:r>
    </w:p>
    <w:tbl>
      <w:tblPr>
        <w:tblStyle w:val="2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295"/>
        <w:gridCol w:w="281"/>
        <w:gridCol w:w="10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中标供应商名称</w:t>
            </w:r>
          </w:p>
        </w:tc>
        <w:tc>
          <w:tcPr>
            <w:tcW w:w="2310" w:type="dxa"/>
            <w:vAlign w:val="center"/>
          </w:tcPr>
          <w:p>
            <w:pPr>
              <w:snapToGrid w:val="0"/>
              <w:jc w:val="center"/>
              <w:textAlignment w:val="baseline"/>
              <w:rPr>
                <w:rFonts w:ascii="仿宋" w:hAnsi="仿宋" w:eastAsia="仿宋" w:cs="仿宋"/>
                <w:sz w:val="24"/>
                <w:szCs w:val="24"/>
              </w:rPr>
            </w:pPr>
          </w:p>
        </w:tc>
        <w:tc>
          <w:tcPr>
            <w:tcW w:w="2311" w:type="dxa"/>
            <w:gridSpan w:val="3"/>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供应商负责人</w:t>
            </w:r>
          </w:p>
        </w:tc>
        <w:tc>
          <w:tcPr>
            <w:tcW w:w="2311" w:type="dxa"/>
            <w:gridSpan w:val="2"/>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供应商地址</w:t>
            </w:r>
          </w:p>
        </w:tc>
        <w:tc>
          <w:tcPr>
            <w:tcW w:w="6932" w:type="dxa"/>
            <w:gridSpan w:val="6"/>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2" w:type="dxa"/>
            <w:gridSpan w:val="7"/>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产品名称</w:t>
            </w:r>
          </w:p>
        </w:tc>
        <w:tc>
          <w:tcPr>
            <w:tcW w:w="3045" w:type="dxa"/>
            <w:gridSpan w:val="2"/>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规格型号</w:t>
            </w:r>
          </w:p>
        </w:tc>
        <w:tc>
          <w:tcPr>
            <w:tcW w:w="1295"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数量</w:t>
            </w:r>
          </w:p>
        </w:tc>
        <w:tc>
          <w:tcPr>
            <w:tcW w:w="1296" w:type="dxa"/>
            <w:gridSpan w:val="2"/>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单价</w:t>
            </w:r>
          </w:p>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（元）</w:t>
            </w:r>
          </w:p>
        </w:tc>
        <w:tc>
          <w:tcPr>
            <w:tcW w:w="1296"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合价</w:t>
            </w:r>
          </w:p>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p>
        </w:tc>
        <w:tc>
          <w:tcPr>
            <w:tcW w:w="3045" w:type="dxa"/>
            <w:gridSpan w:val="2"/>
            <w:vAlign w:val="center"/>
          </w:tcPr>
          <w:p>
            <w:pPr>
              <w:snapToGrid w:val="0"/>
              <w:jc w:val="center"/>
              <w:textAlignment w:val="baseline"/>
              <w:rPr>
                <w:rFonts w:ascii="仿宋" w:hAnsi="仿宋" w:eastAsia="仿宋" w:cs="仿宋"/>
                <w:sz w:val="24"/>
                <w:szCs w:val="24"/>
              </w:rPr>
            </w:pPr>
          </w:p>
        </w:tc>
        <w:tc>
          <w:tcPr>
            <w:tcW w:w="1295" w:type="dxa"/>
            <w:vAlign w:val="center"/>
          </w:tcPr>
          <w:p>
            <w:pPr>
              <w:snapToGrid w:val="0"/>
              <w:jc w:val="center"/>
              <w:textAlignment w:val="baseline"/>
              <w:rPr>
                <w:rFonts w:ascii="仿宋" w:hAnsi="仿宋" w:eastAsia="仿宋" w:cs="仿宋"/>
                <w:sz w:val="24"/>
                <w:szCs w:val="24"/>
              </w:rPr>
            </w:pPr>
          </w:p>
        </w:tc>
        <w:tc>
          <w:tcPr>
            <w:tcW w:w="1296" w:type="dxa"/>
            <w:gridSpan w:val="2"/>
            <w:vAlign w:val="center"/>
          </w:tcPr>
          <w:p>
            <w:pPr>
              <w:snapToGrid w:val="0"/>
              <w:jc w:val="center"/>
              <w:textAlignment w:val="baseline"/>
              <w:rPr>
                <w:rFonts w:ascii="仿宋" w:hAnsi="仿宋" w:eastAsia="仿宋" w:cs="仿宋"/>
                <w:sz w:val="24"/>
                <w:szCs w:val="24"/>
              </w:rPr>
            </w:pPr>
          </w:p>
        </w:tc>
        <w:tc>
          <w:tcPr>
            <w:tcW w:w="1296" w:type="dxa"/>
            <w:vAlign w:val="center"/>
          </w:tcPr>
          <w:p>
            <w:pPr>
              <w:snapToGrid w:val="0"/>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snapToGrid w:val="0"/>
              <w:jc w:val="center"/>
              <w:textAlignment w:val="baseline"/>
              <w:rPr>
                <w:rFonts w:ascii="仿宋" w:hAnsi="仿宋" w:eastAsia="仿宋" w:cs="仿宋"/>
                <w:sz w:val="24"/>
                <w:szCs w:val="24"/>
              </w:rPr>
            </w:pPr>
            <w:r>
              <w:rPr>
                <w:rFonts w:hint="eastAsia" w:ascii="仿宋" w:hAnsi="仿宋" w:eastAsia="仿宋" w:cs="仿宋"/>
                <w:sz w:val="24"/>
                <w:szCs w:val="24"/>
              </w:rPr>
              <w:t>总报价</w:t>
            </w:r>
          </w:p>
        </w:tc>
        <w:tc>
          <w:tcPr>
            <w:tcW w:w="6932" w:type="dxa"/>
            <w:gridSpan w:val="6"/>
            <w:vAlign w:val="center"/>
          </w:tcPr>
          <w:p>
            <w:pPr>
              <w:snapToGrid w:val="0"/>
              <w:textAlignment w:val="baseline"/>
              <w:rPr>
                <w:rFonts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9242" w:type="dxa"/>
            <w:gridSpan w:val="7"/>
          </w:tcPr>
          <w:p>
            <w:pPr>
              <w:snapToGrid w:val="0"/>
              <w:textAlignment w:val="baseline"/>
              <w:rPr>
                <w:rFonts w:ascii="仿宋" w:hAnsi="仿宋" w:eastAsia="仿宋" w:cs="仿宋"/>
                <w:sz w:val="24"/>
                <w:szCs w:val="24"/>
              </w:rPr>
            </w:pPr>
            <w:r>
              <w:rPr>
                <w:rFonts w:hint="eastAsia" w:ascii="仿宋" w:hAnsi="仿宋" w:eastAsia="仿宋" w:cs="仿宋"/>
                <w:sz w:val="24"/>
                <w:szCs w:val="24"/>
              </w:rPr>
              <w:t>服务要求：</w:t>
            </w:r>
          </w:p>
          <w:p>
            <w:pPr>
              <w:snapToGrid w:val="0"/>
              <w:textAlignment w:val="baseline"/>
              <w:rPr>
                <w:rFonts w:ascii="仿宋" w:hAnsi="仿宋" w:eastAsia="仿宋" w:cs="仿宋"/>
                <w:sz w:val="24"/>
                <w:szCs w:val="24"/>
              </w:rPr>
            </w:pPr>
          </w:p>
          <w:p>
            <w:pPr>
              <w:snapToGrid w:val="0"/>
              <w:textAlignment w:val="baseline"/>
              <w:rPr>
                <w:rFonts w:ascii="仿宋" w:hAnsi="仿宋" w:eastAsia="仿宋" w:cs="仿宋"/>
                <w:sz w:val="24"/>
                <w:szCs w:val="24"/>
              </w:rPr>
            </w:pPr>
          </w:p>
          <w:p>
            <w:pPr>
              <w:snapToGrid w:val="0"/>
              <w:textAlignment w:val="baseline"/>
              <w:rPr>
                <w:rFonts w:ascii="仿宋" w:hAnsi="仿宋" w:eastAsia="仿宋" w:cs="仿宋"/>
                <w:sz w:val="24"/>
                <w:szCs w:val="24"/>
              </w:rPr>
            </w:pPr>
          </w:p>
        </w:tc>
      </w:tr>
    </w:tbl>
    <w:p>
      <w:pPr>
        <w:snapToGrid w:val="0"/>
        <w:textAlignment w:val="baseline"/>
        <w:rPr>
          <w:rFonts w:ascii="仿宋" w:hAnsi="仿宋" w:eastAsia="仿宋" w:cs="仿宋"/>
          <w:sz w:val="24"/>
          <w:szCs w:val="24"/>
        </w:rPr>
      </w:pPr>
      <w:r>
        <w:rPr>
          <w:rFonts w:hint="eastAsia" w:ascii="仿宋" w:hAnsi="仿宋" w:eastAsia="仿宋" w:cs="仿宋"/>
          <w:sz w:val="24"/>
          <w:szCs w:val="24"/>
        </w:rPr>
        <w:t>注：1、供应商应根据其投标情况填写该表，并保证其与投标文件内容的一致性、正确性和真实性；</w:t>
      </w:r>
    </w:p>
    <w:p>
      <w:pPr>
        <w:snapToGrid w:val="0"/>
        <w:ind w:firstLine="470" w:firstLineChars="196"/>
        <w:textAlignment w:val="baseline"/>
        <w:rPr>
          <w:rFonts w:ascii="仿宋" w:hAnsi="仿宋" w:eastAsia="仿宋" w:cs="仿宋"/>
          <w:sz w:val="24"/>
          <w:szCs w:val="24"/>
        </w:rPr>
      </w:pPr>
      <w:r>
        <w:rPr>
          <w:rFonts w:hint="eastAsia" w:ascii="仿宋" w:hAnsi="仿宋" w:eastAsia="仿宋" w:cs="仿宋"/>
          <w:sz w:val="24"/>
          <w:szCs w:val="24"/>
        </w:rPr>
        <w:t>2、填写该表不代表供应商已具有中标人资格。本表只作为中标结果公告内容的一部分，进行公告使用；</w:t>
      </w:r>
    </w:p>
    <w:p>
      <w:pPr>
        <w:snapToGrid w:val="0"/>
        <w:ind w:firstLine="470" w:firstLineChars="196"/>
        <w:textAlignment w:val="baseline"/>
        <w:rPr>
          <w:rFonts w:ascii="仿宋" w:hAnsi="仿宋" w:eastAsia="仿宋" w:cs="仿宋"/>
          <w:sz w:val="24"/>
          <w:szCs w:val="24"/>
        </w:rPr>
      </w:pPr>
      <w:r>
        <w:rPr>
          <w:rFonts w:hint="eastAsia" w:ascii="仿宋" w:hAnsi="仿宋" w:eastAsia="仿宋" w:cs="仿宋"/>
          <w:sz w:val="24"/>
          <w:szCs w:val="24"/>
        </w:rPr>
        <w:t>3、本表内容涉及较多，供应商可以适当增减表格行数，以保证表格内容的完整；</w:t>
      </w:r>
    </w:p>
    <w:p>
      <w:pPr>
        <w:snapToGrid w:val="0"/>
        <w:ind w:firstLine="470" w:firstLineChars="196"/>
        <w:textAlignment w:val="baseline"/>
        <w:rPr>
          <w:rFonts w:ascii="仿宋" w:hAnsi="仿宋" w:eastAsia="仿宋" w:cs="仿宋"/>
          <w:sz w:val="24"/>
          <w:szCs w:val="24"/>
        </w:rPr>
      </w:pPr>
      <w:r>
        <w:rPr>
          <w:rFonts w:hint="eastAsia" w:ascii="仿宋" w:hAnsi="仿宋" w:eastAsia="仿宋" w:cs="仿宋"/>
          <w:sz w:val="24"/>
          <w:szCs w:val="24"/>
        </w:rPr>
        <w:t>4、评审结果排名第一的供应商在评审结束后</w:t>
      </w:r>
      <w:r>
        <w:rPr>
          <w:rFonts w:hint="eastAsia" w:ascii="仿宋" w:hAnsi="仿宋" w:eastAsia="仿宋" w:cs="仿宋"/>
          <w:b/>
          <w:bCs/>
          <w:sz w:val="24"/>
          <w:szCs w:val="24"/>
        </w:rPr>
        <w:t>2个工作日内</w:t>
      </w:r>
      <w:r>
        <w:rPr>
          <w:rFonts w:hint="eastAsia" w:ascii="仿宋" w:hAnsi="仿宋" w:eastAsia="仿宋" w:cs="仿宋"/>
          <w:sz w:val="24"/>
          <w:szCs w:val="24"/>
        </w:rPr>
        <w:t>将该表格及项目投标文件电子文档刻录成光盘或将电子文档提交给采购中心的项目负责人。未按时提交规定内容造成后果由供应商自行承担。</w:t>
      </w:r>
    </w:p>
    <w:p>
      <w:pPr>
        <w:snapToGrid w:val="0"/>
        <w:textAlignment w:val="baseline"/>
        <w:rPr>
          <w:rFonts w:ascii="仿宋" w:hAnsi="仿宋" w:eastAsia="仿宋" w:cs="仿宋"/>
          <w:sz w:val="24"/>
          <w:szCs w:val="24"/>
        </w:rPr>
      </w:pPr>
      <w:r>
        <w:rPr>
          <w:rFonts w:hint="eastAsia" w:ascii="仿宋" w:hAnsi="仿宋" w:eastAsia="仿宋" w:cs="仿宋"/>
          <w:sz w:val="24"/>
          <w:szCs w:val="24"/>
        </w:rPr>
        <w:t>5、中标结果公告内容如涉及供应商的商业秘密等法律法规规定可以不予公告的情形，供应商应另附书面说明，如未事前书面说明造成的后果由供应商自行承担。</w:t>
      </w:r>
    </w:p>
    <w:p>
      <w:pPr>
        <w:pStyle w:val="2"/>
        <w:pageBreakBefore/>
        <w:spacing w:line="560" w:lineRule="exact"/>
        <w:rPr>
          <w:rFonts w:ascii="仿宋" w:hAnsi="仿宋" w:eastAsia="仿宋" w:cs="仿宋"/>
        </w:rPr>
      </w:pPr>
      <w:bookmarkStart w:id="541" w:name="_Toc26698"/>
      <w:bookmarkStart w:id="542" w:name="_Toc335664294"/>
      <w:bookmarkStart w:id="543" w:name="_Toc6827"/>
      <w:bookmarkStart w:id="544" w:name="_Toc20506"/>
      <w:bookmarkStart w:id="545" w:name="_Toc13186"/>
      <w:bookmarkStart w:id="546" w:name="_Toc19240"/>
      <w:bookmarkStart w:id="547" w:name="_Toc4012"/>
      <w:bookmarkStart w:id="548" w:name="_Toc493956074"/>
      <w:bookmarkStart w:id="549" w:name="_Toc11329"/>
      <w:bookmarkStart w:id="550" w:name="_Toc28609"/>
      <w:r>
        <w:rPr>
          <w:rFonts w:hint="eastAsia" w:ascii="仿宋" w:hAnsi="仿宋" w:eastAsia="仿宋" w:cs="仿宋"/>
        </w:rPr>
        <w:t>第六章  评审办法和细则</w:t>
      </w:r>
      <w:bookmarkEnd w:id="541"/>
      <w:bookmarkEnd w:id="542"/>
      <w:bookmarkEnd w:id="543"/>
      <w:bookmarkEnd w:id="544"/>
      <w:bookmarkEnd w:id="545"/>
      <w:bookmarkEnd w:id="546"/>
      <w:bookmarkEnd w:id="547"/>
      <w:bookmarkEnd w:id="548"/>
      <w:bookmarkEnd w:id="549"/>
      <w:bookmarkEnd w:id="550"/>
    </w:p>
    <w:p>
      <w:pPr>
        <w:pStyle w:val="12"/>
        <w:spacing w:line="360" w:lineRule="auto"/>
        <w:ind w:firstLine="420" w:firstLineChars="200"/>
        <w:textAlignment w:val="baseline"/>
        <w:rPr>
          <w:rFonts w:ascii="仿宋" w:hAnsi="仿宋" w:eastAsia="仿宋" w:cs="仿宋"/>
        </w:rPr>
      </w:pPr>
    </w:p>
    <w:p>
      <w:pPr>
        <w:pStyle w:val="12"/>
        <w:snapToGrid/>
        <w:spacing w:line="360" w:lineRule="auto"/>
        <w:ind w:firstLineChars="200"/>
        <w:rPr>
          <w:rFonts w:ascii="仿宋" w:hAnsi="仿宋" w:eastAsia="仿宋" w:cs="仿宋"/>
          <w:sz w:val="24"/>
          <w:szCs w:val="24"/>
        </w:rPr>
      </w:pPr>
      <w:bookmarkStart w:id="551" w:name="_Toc3729"/>
      <w:r>
        <w:rPr>
          <w:rFonts w:hint="eastAsia" w:ascii="仿宋" w:hAnsi="仿宋" w:eastAsia="仿宋" w:cs="仿宋"/>
          <w:sz w:val="24"/>
          <w:szCs w:val="24"/>
        </w:rPr>
        <w:t>参照《中华人民共和国政府采购法》等有关法律法规的规定，并结合本项目的实际，按照公正、公平、科学、择优的原则选择中标人，特制定本办法。</w:t>
      </w:r>
    </w:p>
    <w:p>
      <w:pPr>
        <w:pStyle w:val="4"/>
        <w:spacing w:before="200" w:after="200"/>
        <w:ind w:firstLine="0" w:firstLineChars="0"/>
        <w:rPr>
          <w:rFonts w:ascii="仿宋" w:hAnsi="仿宋" w:eastAsia="仿宋" w:cs="Times New Roman"/>
        </w:rPr>
      </w:pPr>
      <w:bookmarkStart w:id="552" w:name="_Toc18660"/>
      <w:bookmarkStart w:id="553" w:name="_Toc2541"/>
      <w:bookmarkStart w:id="554" w:name="_Toc27102"/>
      <w:bookmarkStart w:id="555" w:name="_Toc7592"/>
      <w:bookmarkStart w:id="556" w:name="_Toc10553"/>
      <w:bookmarkStart w:id="557" w:name="_Toc335664295"/>
      <w:bookmarkStart w:id="558" w:name="_Toc22421"/>
      <w:bookmarkStart w:id="559" w:name="_Toc28395"/>
      <w:bookmarkStart w:id="560" w:name="_Toc18361"/>
      <w:bookmarkStart w:id="561" w:name="_Toc493956075"/>
      <w:bookmarkStart w:id="562" w:name="_Toc24891"/>
      <w:bookmarkStart w:id="563" w:name="_Toc25912"/>
      <w:r>
        <w:rPr>
          <w:rFonts w:hint="eastAsia" w:ascii="仿宋" w:hAnsi="仿宋" w:eastAsia="仿宋" w:cs="仿宋"/>
        </w:rPr>
        <w:t>一、总则</w:t>
      </w:r>
      <w:bookmarkEnd w:id="552"/>
      <w:bookmarkEnd w:id="553"/>
      <w:bookmarkEnd w:id="554"/>
      <w:bookmarkEnd w:id="555"/>
      <w:bookmarkEnd w:id="556"/>
      <w:bookmarkEnd w:id="557"/>
      <w:bookmarkEnd w:id="558"/>
      <w:bookmarkEnd w:id="559"/>
      <w:bookmarkEnd w:id="560"/>
      <w:bookmarkEnd w:id="561"/>
      <w:bookmarkEnd w:id="562"/>
      <w:bookmarkEnd w:id="563"/>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 </w:t>
      </w:r>
      <w:r>
        <w:rPr>
          <w:rFonts w:hint="eastAsia" w:ascii="仿宋" w:hAnsi="仿宋" w:eastAsia="仿宋" w:cs="仿宋"/>
          <w:sz w:val="24"/>
          <w:szCs w:val="24"/>
        </w:rPr>
        <w:t>为最大限度地保护各当事人的权益，评标委员会应严格按照招标文件的技术、资信及商务、报价要求，对</w:t>
      </w:r>
      <w:r>
        <w:rPr>
          <w:rFonts w:hint="eastAsia" w:ascii="仿宋" w:hAnsi="仿宋" w:eastAsia="仿宋" w:cs="仿宋"/>
          <w:kern w:val="0"/>
          <w:sz w:val="24"/>
          <w:szCs w:val="24"/>
        </w:rPr>
        <w:t>投标文件</w:t>
      </w:r>
      <w:r>
        <w:rPr>
          <w:rFonts w:hint="eastAsia" w:ascii="仿宋" w:hAnsi="仿宋" w:eastAsia="仿宋" w:cs="仿宋"/>
          <w:sz w:val="24"/>
          <w:szCs w:val="24"/>
        </w:rPr>
        <w:t>进行综合分析评价并编制评标报告。评审专家必须严格遵守保密规定，不得泄漏评标有关的情况，不得索贿受贿，不得参加影响评标的任何活动。</w:t>
      </w:r>
    </w:p>
    <w:p>
      <w:pPr>
        <w:spacing w:line="360" w:lineRule="auto"/>
        <w:ind w:firstLine="480" w:firstLineChars="200"/>
        <w:rPr>
          <w:rFonts w:ascii="仿宋" w:hAnsi="仿宋" w:eastAsia="仿宋" w:cs="Times New Roman"/>
        </w:rPr>
      </w:pPr>
      <w:r>
        <w:rPr>
          <w:rFonts w:ascii="仿宋" w:hAnsi="仿宋" w:eastAsia="仿宋" w:cs="仿宋"/>
          <w:sz w:val="24"/>
          <w:szCs w:val="24"/>
        </w:rPr>
        <w:t xml:space="preserve">1.2 </w:t>
      </w:r>
      <w:r>
        <w:rPr>
          <w:rFonts w:hint="eastAsia" w:ascii="仿宋" w:hAnsi="仿宋" w:eastAsia="仿宋" w:cs="仿宋"/>
          <w:sz w:val="24"/>
          <w:szCs w:val="24"/>
        </w:rPr>
        <w:t>本次评审方法采取百分制综合评分法，按最终得分由高到低顺序排列。最终得分相同的，按投标报价由低到高顺序排列；最终得分且投标报价相同的，按技术得分由高到低顺序排列。评标委员会</w:t>
      </w:r>
      <w:r>
        <w:rPr>
          <w:rFonts w:hint="eastAsia" w:ascii="仿宋" w:hAnsi="仿宋" w:eastAsia="仿宋" w:cs="仿宋"/>
          <w:sz w:val="24"/>
          <w:szCs w:val="24"/>
          <w:lang w:eastAsia="zh-CN"/>
        </w:rPr>
        <w:t>按排序</w:t>
      </w:r>
      <w:r>
        <w:rPr>
          <w:rFonts w:hint="eastAsia" w:ascii="仿宋" w:hAnsi="仿宋" w:eastAsia="仿宋" w:cs="仿宋"/>
          <w:sz w:val="24"/>
          <w:szCs w:val="24"/>
        </w:rPr>
        <w:t>推荐</w:t>
      </w:r>
      <w:r>
        <w:rPr>
          <w:rFonts w:hint="eastAsia" w:ascii="仿宋" w:hAnsi="仿宋" w:eastAsia="仿宋" w:cs="仿宋"/>
          <w:sz w:val="24"/>
          <w:szCs w:val="24"/>
          <w:lang w:val="en-US" w:eastAsia="zh-CN"/>
        </w:rPr>
        <w:t>2名</w:t>
      </w:r>
      <w:r>
        <w:rPr>
          <w:rFonts w:hint="eastAsia" w:ascii="仿宋" w:hAnsi="仿宋" w:eastAsia="仿宋" w:cs="仿宋"/>
          <w:sz w:val="24"/>
          <w:szCs w:val="24"/>
        </w:rPr>
        <w:t>中标候选人，</w:t>
      </w:r>
      <w:r>
        <w:rPr>
          <w:rFonts w:hint="eastAsia" w:ascii="仿宋" w:hAnsi="仿宋" w:eastAsia="仿宋" w:cs="仿宋"/>
          <w:kern w:val="2"/>
          <w:sz w:val="24"/>
          <w:szCs w:val="24"/>
          <w:highlight w:val="none"/>
        </w:rPr>
        <w:t>投标文件满足招标文件全部实质性要求，且按照评审因素的量化指标评审得分最高的投标人排名第一的中标候选人。排名第二的投标人为候补中标候选人。</w:t>
      </w:r>
    </w:p>
    <w:p>
      <w:pPr>
        <w:pStyle w:val="4"/>
        <w:spacing w:before="200" w:after="200"/>
        <w:ind w:firstLine="0" w:firstLineChars="0"/>
        <w:rPr>
          <w:rFonts w:ascii="仿宋" w:hAnsi="仿宋" w:eastAsia="仿宋" w:cs="Times New Roman"/>
        </w:rPr>
      </w:pPr>
      <w:bookmarkStart w:id="564" w:name="_Toc335664296"/>
      <w:bookmarkStart w:id="565" w:name="_Toc27025"/>
      <w:bookmarkStart w:id="566" w:name="_Toc493956076"/>
      <w:bookmarkStart w:id="567" w:name="_Toc1917"/>
      <w:bookmarkStart w:id="568" w:name="_Toc4545"/>
      <w:bookmarkStart w:id="569" w:name="_Toc24690"/>
      <w:bookmarkStart w:id="570" w:name="_Toc4107"/>
      <w:bookmarkStart w:id="571" w:name="_Toc20650"/>
      <w:bookmarkStart w:id="572" w:name="_Toc8894"/>
      <w:bookmarkStart w:id="573" w:name="_Toc30170"/>
      <w:bookmarkStart w:id="574" w:name="_Toc29478"/>
      <w:bookmarkStart w:id="575" w:name="_Toc11763"/>
      <w:r>
        <w:rPr>
          <w:rFonts w:hint="eastAsia" w:ascii="仿宋" w:hAnsi="仿宋" w:eastAsia="仿宋" w:cs="仿宋"/>
        </w:rPr>
        <w:t>二</w:t>
      </w:r>
      <w:bookmarkEnd w:id="564"/>
      <w:r>
        <w:rPr>
          <w:rFonts w:hint="eastAsia" w:ascii="仿宋" w:hAnsi="仿宋" w:eastAsia="仿宋" w:cs="仿宋"/>
        </w:rPr>
        <w:t>、评标委员会</w:t>
      </w:r>
      <w:bookmarkEnd w:id="565"/>
      <w:bookmarkEnd w:id="566"/>
      <w:bookmarkEnd w:id="567"/>
      <w:bookmarkEnd w:id="568"/>
      <w:bookmarkEnd w:id="569"/>
      <w:bookmarkEnd w:id="570"/>
      <w:bookmarkEnd w:id="571"/>
      <w:bookmarkEnd w:id="572"/>
      <w:bookmarkEnd w:id="573"/>
      <w:bookmarkEnd w:id="574"/>
      <w:bookmarkEnd w:id="575"/>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 </w:t>
      </w:r>
      <w:r>
        <w:rPr>
          <w:rFonts w:hint="eastAsia" w:ascii="仿宋" w:hAnsi="仿宋" w:eastAsia="仿宋" w:cs="仿宋"/>
          <w:sz w:val="24"/>
          <w:szCs w:val="24"/>
        </w:rPr>
        <w:t>评标委员会</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2.1.1</w:t>
      </w:r>
      <w:r>
        <w:rPr>
          <w:rFonts w:hint="eastAsia" w:ascii="仿宋" w:hAnsi="仿宋" w:eastAsia="仿宋" w:cs="仿宋"/>
          <w:sz w:val="24"/>
          <w:szCs w:val="24"/>
        </w:rPr>
        <w:t>评标成员：由采购人代表和评审专家组成；</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评审专家确定方式：除国务院财政部门规定的情形外，评审专家由采购代理机构在政府采购专家库中随机抽取。</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2.1.2 </w:t>
      </w:r>
      <w:r>
        <w:rPr>
          <w:rFonts w:hint="eastAsia" w:ascii="仿宋" w:hAnsi="仿宋" w:eastAsia="仿宋" w:cs="仿宋"/>
          <w:sz w:val="24"/>
          <w:szCs w:val="24"/>
        </w:rPr>
        <w:t>职责：严格按政府采购法律法规的有关规定执行，评审专家应按招标文件规定的评审要求、评审程序、评审内容、评审方法和评审标准进行评审，对评审意见承担个人责任。</w:t>
      </w:r>
    </w:p>
    <w:p>
      <w:pPr>
        <w:spacing w:line="360" w:lineRule="auto"/>
        <w:ind w:firstLine="480"/>
        <w:rPr>
          <w:rFonts w:ascii="仿宋" w:hAnsi="仿宋" w:eastAsia="仿宋" w:cs="仿宋"/>
          <w:sz w:val="20"/>
          <w:szCs w:val="20"/>
        </w:rPr>
      </w:pPr>
      <w:r>
        <w:rPr>
          <w:rFonts w:ascii="仿宋" w:hAnsi="仿宋" w:eastAsia="仿宋" w:cs="仿宋"/>
          <w:sz w:val="24"/>
          <w:szCs w:val="24"/>
        </w:rPr>
        <w:t xml:space="preserve">2.2 </w:t>
      </w:r>
      <w:r>
        <w:rPr>
          <w:rFonts w:hint="eastAsia" w:ascii="仿宋" w:hAnsi="仿宋" w:eastAsia="仿宋" w:cs="仿宋"/>
          <w:sz w:val="24"/>
          <w:szCs w:val="24"/>
        </w:rPr>
        <w:t>评审专家的评审情况和评审意见受监督人员和采购代理机构审查，如发现评审专家的评审意见带有明显倾向性，或不按规定程序和标准评审、计分的，可要求评审专家进行书面澄清和说明。</w:t>
      </w:r>
      <w:bookmarkStart w:id="576" w:name="EB6885a4015b3740149508d1d9cdf8e365"/>
      <w:bookmarkEnd w:id="576"/>
      <w:bookmarkStart w:id="577" w:name="EBf4bacbb027e1442ab20dcf2259a93f30"/>
      <w:bookmarkEnd w:id="577"/>
    </w:p>
    <w:p>
      <w:pPr>
        <w:pStyle w:val="4"/>
        <w:spacing w:before="200" w:after="200"/>
        <w:ind w:firstLine="0" w:firstLineChars="0"/>
        <w:rPr>
          <w:rFonts w:ascii="仿宋" w:hAnsi="仿宋" w:eastAsia="仿宋" w:cs="Times New Roman"/>
        </w:rPr>
      </w:pPr>
      <w:bookmarkStart w:id="578" w:name="_Toc16208"/>
      <w:bookmarkStart w:id="579" w:name="_Toc8051"/>
      <w:bookmarkStart w:id="580" w:name="_Toc24382"/>
      <w:bookmarkStart w:id="581" w:name="_Toc16539"/>
      <w:bookmarkStart w:id="582" w:name="_Toc5992"/>
      <w:bookmarkStart w:id="583" w:name="_Toc493956078"/>
      <w:bookmarkStart w:id="584" w:name="_Toc30176"/>
      <w:bookmarkStart w:id="585" w:name="_Toc10316"/>
      <w:bookmarkStart w:id="586" w:name="_Toc22719"/>
      <w:bookmarkStart w:id="587" w:name="_Toc335664298"/>
      <w:bookmarkStart w:id="588" w:name="_Toc24303"/>
      <w:bookmarkStart w:id="589" w:name="_Toc28944"/>
      <w:r>
        <w:rPr>
          <w:rFonts w:hint="eastAsia" w:ascii="仿宋" w:hAnsi="仿宋" w:eastAsia="仿宋" w:cs="仿宋"/>
        </w:rPr>
        <w:t>三、评标程序</w:t>
      </w:r>
      <w:bookmarkEnd w:id="578"/>
      <w:bookmarkEnd w:id="579"/>
      <w:bookmarkEnd w:id="580"/>
      <w:bookmarkEnd w:id="581"/>
      <w:bookmarkEnd w:id="582"/>
      <w:bookmarkEnd w:id="583"/>
      <w:bookmarkEnd w:id="584"/>
      <w:bookmarkEnd w:id="585"/>
      <w:bookmarkEnd w:id="586"/>
      <w:bookmarkEnd w:id="587"/>
      <w:bookmarkEnd w:id="588"/>
      <w:bookmarkEnd w:id="589"/>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 xml:space="preserve">3.1 </w:t>
      </w:r>
      <w:r>
        <w:rPr>
          <w:rFonts w:hint="eastAsia" w:ascii="仿宋" w:hAnsi="仿宋" w:eastAsia="仿宋" w:cs="仿宋"/>
          <w:b/>
          <w:bCs/>
          <w:sz w:val="24"/>
          <w:szCs w:val="24"/>
        </w:rPr>
        <w:t>符合性审查</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3.2 资信商务及技术文件评审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评标委员会依据招标文件的规定，对各投标人的资信商务及技术文件进行评审，对客观分应统一意见后统一给分。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标委员会依据招标文件的规定，对各投标人的资信商务及技术文件进行独立评审。对各响应文件进行比较和必要的澄清，若有演示、样品要求和技术文件评审同步进行，演示顺序由递交投标文件的正顺序，并根据审查、澄清、演示、样品等情况结合评审办法进行独立打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各投标人的资信商务及技术得分，为各评审专家对该投标人的资信商务及技术得分结果汇总后的算术平均数。</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3</w:t>
      </w:r>
      <w:r>
        <w:rPr>
          <w:rFonts w:ascii="仿宋" w:hAnsi="仿宋" w:eastAsia="仿宋" w:cs="仿宋"/>
          <w:b/>
          <w:bCs/>
          <w:sz w:val="24"/>
          <w:szCs w:val="24"/>
        </w:rPr>
        <w:t xml:space="preserve"> </w:t>
      </w:r>
      <w:r>
        <w:rPr>
          <w:rFonts w:hint="eastAsia" w:ascii="仿宋" w:hAnsi="仿宋" w:eastAsia="仿宋" w:cs="仿宋"/>
          <w:b/>
          <w:bCs/>
          <w:sz w:val="24"/>
          <w:szCs w:val="24"/>
        </w:rPr>
        <w:t>报价文件评审</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 xml:space="preserve">.1 </w:t>
      </w:r>
      <w:r>
        <w:rPr>
          <w:rFonts w:hint="eastAsia" w:ascii="仿宋" w:hAnsi="仿宋" w:eastAsia="仿宋" w:cs="仿宋"/>
          <w:sz w:val="24"/>
          <w:szCs w:val="24"/>
        </w:rPr>
        <w:t>评标委员会依据招标文件的规定，对各投标人的报价的合理性进行审查，必要时可要求投保人对其报价做出澄清、说明。</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 xml:space="preserve"> 报价修正；</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3 评审委员会根据投标人的报价和评审标准，计算各投标人的报价得分。</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4</w:t>
      </w:r>
      <w:r>
        <w:rPr>
          <w:rFonts w:ascii="仿宋" w:hAnsi="仿宋" w:eastAsia="仿宋" w:cs="仿宋"/>
          <w:b/>
          <w:bCs/>
          <w:sz w:val="24"/>
          <w:szCs w:val="24"/>
        </w:rPr>
        <w:t xml:space="preserve"> </w:t>
      </w:r>
      <w:r>
        <w:rPr>
          <w:rFonts w:hint="eastAsia" w:ascii="仿宋" w:hAnsi="仿宋" w:eastAsia="仿宋" w:cs="仿宋"/>
          <w:b/>
          <w:bCs/>
          <w:sz w:val="24"/>
          <w:szCs w:val="24"/>
        </w:rPr>
        <w:t>评标结果</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4</w:t>
      </w:r>
      <w:r>
        <w:rPr>
          <w:rFonts w:ascii="仿宋" w:hAnsi="仿宋" w:eastAsia="仿宋" w:cs="仿宋"/>
          <w:sz w:val="24"/>
          <w:szCs w:val="24"/>
        </w:rPr>
        <w:t xml:space="preserve">.1 </w:t>
      </w:r>
      <w:r>
        <w:rPr>
          <w:rFonts w:hint="eastAsia" w:ascii="仿宋" w:hAnsi="仿宋" w:eastAsia="仿宋" w:cs="仿宋"/>
          <w:sz w:val="24"/>
          <w:szCs w:val="24"/>
        </w:rPr>
        <w:t>评审结果汇总，同品牌投标人的确定，投标人结果排序；</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4</w:t>
      </w:r>
      <w:r>
        <w:rPr>
          <w:rFonts w:ascii="仿宋" w:hAnsi="仿宋" w:eastAsia="仿宋" w:cs="仿宋"/>
          <w:sz w:val="24"/>
          <w:szCs w:val="24"/>
        </w:rPr>
        <w:t xml:space="preserve">.2 </w:t>
      </w:r>
      <w:r>
        <w:rPr>
          <w:rFonts w:hint="eastAsia" w:ascii="仿宋" w:hAnsi="仿宋" w:eastAsia="仿宋" w:cs="仿宋"/>
          <w:sz w:val="24"/>
          <w:szCs w:val="24"/>
        </w:rPr>
        <w:t>起草评标报告，确定中标候选人；</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4</w:t>
      </w:r>
      <w:r>
        <w:rPr>
          <w:rFonts w:ascii="仿宋" w:hAnsi="仿宋" w:eastAsia="仿宋" w:cs="仿宋"/>
          <w:sz w:val="24"/>
          <w:szCs w:val="24"/>
        </w:rPr>
        <w:t xml:space="preserve">.2.1 </w:t>
      </w:r>
      <w:r>
        <w:rPr>
          <w:rFonts w:hint="eastAsia" w:ascii="仿宋" w:hAnsi="仿宋" w:eastAsia="仿宋" w:cs="仿宋"/>
          <w:sz w:val="24"/>
          <w:szCs w:val="24"/>
        </w:rPr>
        <w:t>评标报告应包括以下内容：</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）招标公告刊登的媒体名称、开标日期和地点；</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）投标人名单和评标委员会成员名单；</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）评审方法和标准；</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）开标记录和评审情况及说明，包括无效投标人名单及原因；</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）评审结果，确定的中标候选人名单或者经采购人委托直接确定的中标人；</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）其他需要说明的情况，包括评审过程中投标人根据评标委员会要求进行的澄清、说明或者补正，评标委员会成员的更换等。</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4</w:t>
      </w:r>
      <w:r>
        <w:rPr>
          <w:rFonts w:ascii="仿宋" w:hAnsi="仿宋" w:eastAsia="仿宋" w:cs="仿宋"/>
          <w:sz w:val="24"/>
          <w:szCs w:val="24"/>
        </w:rPr>
        <w:t xml:space="preserve">.3 </w:t>
      </w:r>
      <w:r>
        <w:rPr>
          <w:rFonts w:hint="eastAsia" w:ascii="仿宋" w:hAnsi="仿宋" w:eastAsia="仿宋" w:cs="仿宋"/>
          <w:sz w:val="24"/>
          <w:szCs w:val="24"/>
        </w:rPr>
        <w:t>评标报告由全体评标委员会成员确认后提交。</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5</w:t>
      </w:r>
      <w:r>
        <w:rPr>
          <w:rFonts w:ascii="仿宋" w:hAnsi="仿宋" w:eastAsia="仿宋" w:cs="仿宋"/>
          <w:sz w:val="24"/>
          <w:szCs w:val="24"/>
        </w:rPr>
        <w:t xml:space="preserve"> </w:t>
      </w:r>
      <w:r>
        <w:rPr>
          <w:rFonts w:hint="eastAsia" w:ascii="仿宋" w:hAnsi="仿宋" w:eastAsia="仿宋" w:cs="仿宋"/>
          <w:sz w:val="24"/>
          <w:szCs w:val="24"/>
        </w:rPr>
        <w:t>评审结束后，采购代理机构当日在开标大厅宣布评审结果，并在采购人确定中标人后</w:t>
      </w:r>
      <w:r>
        <w:rPr>
          <w:rFonts w:ascii="仿宋" w:hAnsi="仿宋" w:eastAsia="仿宋" w:cs="仿宋"/>
          <w:sz w:val="24"/>
          <w:szCs w:val="24"/>
        </w:rPr>
        <w:t>2</w:t>
      </w:r>
      <w:r>
        <w:rPr>
          <w:rFonts w:hint="eastAsia" w:ascii="仿宋" w:hAnsi="仿宋" w:eastAsia="仿宋" w:cs="仿宋"/>
          <w:sz w:val="24"/>
          <w:szCs w:val="24"/>
        </w:rPr>
        <w:t>个工作日内，发出中标通知书，并在相关媒体上公告中标结果。</w:t>
      </w:r>
    </w:p>
    <w:p>
      <w:pPr>
        <w:pStyle w:val="4"/>
        <w:spacing w:before="200" w:after="200"/>
        <w:ind w:firstLine="0" w:firstLineChars="0"/>
        <w:rPr>
          <w:rFonts w:ascii="仿宋" w:hAnsi="仿宋" w:eastAsia="仿宋" w:cs="Times New Roman"/>
        </w:rPr>
      </w:pPr>
      <w:bookmarkStart w:id="590" w:name="_Toc7195"/>
      <w:bookmarkStart w:id="591" w:name="_Toc28446"/>
      <w:bookmarkStart w:id="592" w:name="_Toc20572"/>
      <w:bookmarkStart w:id="593" w:name="_Toc30005"/>
      <w:bookmarkStart w:id="594" w:name="_Toc23921"/>
      <w:bookmarkStart w:id="595" w:name="_Toc12509"/>
      <w:bookmarkStart w:id="596" w:name="_Toc493956080"/>
      <w:bookmarkStart w:id="597" w:name="_Toc15148"/>
      <w:bookmarkStart w:id="598" w:name="_Toc11368"/>
      <w:bookmarkStart w:id="599" w:name="_Toc32176"/>
      <w:bookmarkStart w:id="600" w:name="_Toc10044"/>
      <w:r>
        <w:rPr>
          <w:rFonts w:hint="eastAsia" w:ascii="仿宋" w:hAnsi="仿宋" w:eastAsia="仿宋" w:cs="仿宋"/>
        </w:rPr>
        <w:t>四、评审一般规定</w:t>
      </w:r>
      <w:bookmarkEnd w:id="590"/>
      <w:bookmarkEnd w:id="591"/>
      <w:bookmarkEnd w:id="592"/>
      <w:bookmarkEnd w:id="593"/>
      <w:bookmarkEnd w:id="594"/>
      <w:bookmarkEnd w:id="595"/>
      <w:bookmarkEnd w:id="596"/>
      <w:bookmarkEnd w:id="597"/>
      <w:bookmarkEnd w:id="598"/>
      <w:bookmarkEnd w:id="599"/>
      <w:bookmarkEnd w:id="600"/>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.本评审办法采用综合评分法，总分</w:t>
      </w:r>
      <w:r>
        <w:rPr>
          <w:rFonts w:ascii="仿宋" w:hAnsi="仿宋" w:eastAsia="仿宋" w:cs="仿宋"/>
          <w:sz w:val="24"/>
          <w:szCs w:val="24"/>
        </w:rPr>
        <w:t>100</w:t>
      </w:r>
      <w:r>
        <w:rPr>
          <w:rFonts w:hint="eastAsia" w:ascii="仿宋" w:hAnsi="仿宋" w:eastAsia="仿宋" w:cs="仿宋"/>
          <w:sz w:val="24"/>
          <w:szCs w:val="24"/>
        </w:rPr>
        <w:t>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4.1投标人资信商务及技术权重为</w:t>
      </w:r>
      <w:r>
        <w:rPr>
          <w:rFonts w:hint="eastAsia" w:ascii="仿宋" w:hAnsi="仿宋" w:eastAsia="仿宋" w:cs="仿宋"/>
          <w:sz w:val="24"/>
          <w:szCs w:val="24"/>
          <w:lang w:val="en-US" w:eastAsia="zh-CN"/>
        </w:rPr>
        <w:t>9</w:t>
      </w:r>
      <w:r>
        <w:rPr>
          <w:rFonts w:hint="eastAsia" w:ascii="仿宋" w:hAnsi="仿宋" w:eastAsia="仿宋" w:cs="仿宋"/>
          <w:sz w:val="24"/>
          <w:szCs w:val="24"/>
        </w:rPr>
        <w:t>0%，评审分值为</w:t>
      </w:r>
      <w:r>
        <w:rPr>
          <w:rFonts w:hint="eastAsia" w:ascii="仿宋" w:hAnsi="仿宋" w:eastAsia="仿宋" w:cs="仿宋"/>
          <w:sz w:val="24"/>
          <w:szCs w:val="24"/>
          <w:lang w:val="en-US" w:eastAsia="zh-CN"/>
        </w:rPr>
        <w:t>9</w:t>
      </w:r>
      <w:r>
        <w:rPr>
          <w:rFonts w:hint="eastAsia" w:ascii="仿宋" w:hAnsi="仿宋" w:eastAsia="仿宋" w:cs="仿宋"/>
          <w:sz w:val="24"/>
          <w:szCs w:val="24"/>
        </w:rPr>
        <w:t>0分。评审专家对各投标人的资信商务及技术文件经充分审核，讨论后，其中客观部分（资信商务部分）应统一意见后统一给分，其他部分（即技术部分）由评审专家独立评定打分。各有效投标人的资信商务及技术得分为各评审专家对该投标人的评审得分结果汇总后的算术平均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4.2报价分的权重为</w:t>
      </w:r>
      <w:r>
        <w:rPr>
          <w:rFonts w:hint="eastAsia" w:ascii="仿宋" w:hAnsi="仿宋" w:eastAsia="仿宋" w:cs="仿宋"/>
          <w:sz w:val="24"/>
          <w:szCs w:val="24"/>
          <w:lang w:val="en-US" w:eastAsia="zh-CN"/>
        </w:rPr>
        <w:t>1</w:t>
      </w:r>
      <w:r>
        <w:rPr>
          <w:rFonts w:hint="eastAsia" w:ascii="仿宋" w:hAnsi="仿宋" w:eastAsia="仿宋" w:cs="仿宋"/>
          <w:sz w:val="24"/>
          <w:szCs w:val="24"/>
        </w:rPr>
        <w:t>0%，评审分值为</w:t>
      </w:r>
      <w:r>
        <w:rPr>
          <w:rFonts w:hint="eastAsia" w:ascii="仿宋" w:hAnsi="仿宋" w:eastAsia="仿宋" w:cs="仿宋"/>
          <w:sz w:val="24"/>
          <w:szCs w:val="24"/>
          <w:lang w:val="en-US" w:eastAsia="zh-CN"/>
        </w:rPr>
        <w:t>1</w:t>
      </w:r>
      <w:r>
        <w:rPr>
          <w:rFonts w:hint="eastAsia" w:ascii="仿宋" w:hAnsi="仿宋" w:eastAsia="仿宋" w:cs="仿宋"/>
          <w:sz w:val="24"/>
          <w:szCs w:val="24"/>
        </w:rPr>
        <w:t>0分，由评标委员会按各投标人报价统一计算。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4.3投标人总得分=资信商务及技术得分+报价得分。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4.4评审专家在规定的分值范围内打分，评分保留两位小数。</w:t>
      </w:r>
    </w:p>
    <w:p>
      <w:pPr>
        <w:pStyle w:val="4"/>
        <w:snapToGrid w:val="0"/>
        <w:spacing w:line="560" w:lineRule="exact"/>
        <w:ind w:firstLine="301" w:firstLineChars="100"/>
        <w:textAlignment w:val="baseline"/>
        <w:rPr>
          <w:rFonts w:ascii="仿宋" w:hAnsi="仿宋" w:eastAsia="仿宋" w:cs="仿宋"/>
        </w:rPr>
      </w:pPr>
      <w:bookmarkStart w:id="601" w:name="_Toc15745"/>
      <w:bookmarkStart w:id="602" w:name="_Toc12066"/>
      <w:bookmarkStart w:id="603" w:name="_Toc14531"/>
      <w:bookmarkStart w:id="604" w:name="_Toc16648"/>
      <w:bookmarkStart w:id="605" w:name="_Toc26977"/>
      <w:bookmarkStart w:id="606" w:name="_Toc27597"/>
      <w:bookmarkStart w:id="607" w:name="_Toc28975"/>
      <w:bookmarkStart w:id="608" w:name="_Toc16351"/>
      <w:r>
        <w:rPr>
          <w:rFonts w:hint="eastAsia" w:ascii="仿宋" w:hAnsi="仿宋" w:eastAsia="仿宋" w:cs="仿宋"/>
        </w:rPr>
        <w:t>五   评标办法和细则</w:t>
      </w:r>
      <w:bookmarkEnd w:id="551"/>
      <w:bookmarkEnd w:id="601"/>
      <w:bookmarkEnd w:id="602"/>
      <w:bookmarkEnd w:id="603"/>
      <w:bookmarkEnd w:id="604"/>
      <w:bookmarkEnd w:id="605"/>
      <w:bookmarkEnd w:id="606"/>
      <w:bookmarkEnd w:id="607"/>
      <w:bookmarkEnd w:id="608"/>
    </w:p>
    <w:p>
      <w:pPr>
        <w:snapToGrid w:val="0"/>
        <w:spacing w:line="360" w:lineRule="auto"/>
        <w:ind w:firstLine="420" w:firstLineChars="200"/>
        <w:textAlignment w:val="baseline"/>
        <w:rPr>
          <w:rFonts w:ascii="仿宋" w:hAnsi="仿宋" w:eastAsia="仿宋" w:cs="仿宋"/>
          <w:b/>
          <w:sz w:val="24"/>
        </w:rPr>
      </w:pPr>
      <w:r>
        <w:rPr>
          <w:rFonts w:hint="eastAsia" w:ascii="仿宋" w:hAnsi="仿宋" w:eastAsia="仿宋" w:cs="仿宋"/>
        </w:rPr>
        <w:t xml:space="preserve"> </w:t>
      </w:r>
      <w:r>
        <w:rPr>
          <w:rFonts w:hint="eastAsia" w:ascii="仿宋" w:hAnsi="仿宋" w:eastAsia="仿宋" w:cs="仿宋"/>
          <w:b/>
          <w:sz w:val="24"/>
        </w:rPr>
        <w:t>5. 评标内容和标准</w:t>
      </w:r>
    </w:p>
    <w:p>
      <w:pPr>
        <w:snapToGrid w:val="0"/>
        <w:spacing w:line="360" w:lineRule="auto"/>
        <w:ind w:firstLine="482" w:firstLineChars="200"/>
        <w:textAlignment w:val="baseline"/>
        <w:rPr>
          <w:rFonts w:ascii="仿宋" w:hAnsi="仿宋" w:eastAsia="仿宋" w:cs="仿宋"/>
          <w:b/>
          <w:sz w:val="24"/>
        </w:rPr>
      </w:pPr>
      <w:r>
        <w:rPr>
          <w:rFonts w:hint="eastAsia" w:ascii="仿宋" w:hAnsi="仿宋" w:eastAsia="仿宋" w:cs="仿宋"/>
          <w:b/>
          <w:sz w:val="24"/>
        </w:rPr>
        <w:t>5.1资信商务及技术文件得分</w:t>
      </w:r>
      <w:r>
        <w:rPr>
          <w:rFonts w:hint="eastAsia" w:ascii="仿宋" w:hAnsi="仿宋" w:eastAsia="仿宋" w:cs="仿宋"/>
          <w:b/>
          <w:sz w:val="24"/>
          <w:lang w:val="en-US" w:eastAsia="zh-CN"/>
        </w:rPr>
        <w:t>9</w:t>
      </w:r>
      <w:r>
        <w:rPr>
          <w:rFonts w:hint="eastAsia" w:ascii="仿宋" w:hAnsi="仿宋" w:eastAsia="仿宋" w:cs="仿宋"/>
          <w:b/>
          <w:sz w:val="24"/>
        </w:rPr>
        <w:t>0分，权值为</w:t>
      </w:r>
      <w:r>
        <w:rPr>
          <w:rFonts w:hint="eastAsia" w:ascii="仿宋" w:hAnsi="仿宋" w:eastAsia="仿宋" w:cs="仿宋"/>
          <w:b/>
          <w:sz w:val="24"/>
          <w:lang w:val="en-US" w:eastAsia="zh-CN"/>
        </w:rPr>
        <w:t>9</w:t>
      </w:r>
      <w:r>
        <w:rPr>
          <w:rFonts w:hint="eastAsia" w:ascii="仿宋" w:hAnsi="仿宋" w:eastAsia="仿宋" w:cs="仿宋"/>
          <w:b/>
          <w:sz w:val="24"/>
        </w:rPr>
        <w:t>0%，由评委根据以下内容统一打分。</w:t>
      </w:r>
    </w:p>
    <w:tbl>
      <w:tblPr>
        <w:tblStyle w:val="24"/>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37"/>
        <w:gridCol w:w="5628"/>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序号</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评分项目</w:t>
            </w:r>
          </w:p>
        </w:tc>
        <w:tc>
          <w:tcPr>
            <w:tcW w:w="56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评分细则</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类似业绩</w:t>
            </w:r>
          </w:p>
        </w:tc>
        <w:tc>
          <w:tcPr>
            <w:tcW w:w="5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eastAsia="宋体"/>
                <w:color w:val="auto"/>
                <w:highlight w:val="none"/>
                <w:lang w:val="en-US" w:eastAsia="zh-CN" w:bidi="ar"/>
              </w:rPr>
            </w:pPr>
            <w:r>
              <w:rPr>
                <w:rFonts w:hint="eastAsia" w:ascii="仿宋" w:hAnsi="仿宋" w:eastAsia="仿宋" w:cs="仿宋"/>
                <w:color w:val="auto"/>
                <w:kern w:val="0"/>
                <w:sz w:val="24"/>
                <w:szCs w:val="24"/>
                <w:highlight w:val="none"/>
                <w:lang w:bidi="ar"/>
              </w:rPr>
              <w:t>投标人</w:t>
            </w:r>
            <w:r>
              <w:rPr>
                <w:rFonts w:hint="eastAsia" w:ascii="仿宋" w:hAnsi="仿宋" w:eastAsia="仿宋" w:cs="仿宋"/>
                <w:color w:val="auto"/>
                <w:sz w:val="24"/>
                <w:szCs w:val="24"/>
                <w:highlight w:val="none"/>
                <w:lang w:bidi="ar"/>
              </w:rPr>
              <w:t>自2020年以来实施过类似项目业绩，每提供一个合同得1分，最高得3分</w:t>
            </w:r>
            <w:r>
              <w:rPr>
                <w:rFonts w:hint="eastAsia" w:ascii="仿宋" w:hAnsi="仿宋" w:eastAsia="仿宋" w:cs="仿宋"/>
                <w:b/>
                <w:bCs/>
                <w:color w:val="auto"/>
                <w:sz w:val="24"/>
                <w:szCs w:val="24"/>
                <w:highlight w:val="none"/>
                <w:lang w:bidi="ar"/>
              </w:rPr>
              <w:t>（需提供合同复印件并加盖投标人公章，复印件进入投标文件，否则不得分）。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 w:hAnsi="仿宋" w:eastAsia="仿宋" w:cs="仿宋"/>
                <w:color w:val="auto"/>
                <w:sz w:val="24"/>
                <w:szCs w:val="24"/>
                <w:highlight w:val="none"/>
                <w:lang w:val="en-US" w:eastAsia="zh-CN" w:bidi="ar"/>
              </w:rPr>
            </w:pPr>
          </w:p>
          <w:p>
            <w:pPr>
              <w:jc w:val="both"/>
              <w:rPr>
                <w:rFonts w:hint="eastAsia" w:ascii="仿宋" w:hAnsi="仿宋" w:eastAsia="仿宋" w:cs="仿宋"/>
                <w:color w:val="auto"/>
                <w:sz w:val="24"/>
                <w:szCs w:val="24"/>
                <w:highlight w:val="none"/>
                <w:lang w:val="en-US" w:eastAsia="zh-CN" w:bidi="ar"/>
              </w:rPr>
            </w:pPr>
          </w:p>
          <w:p>
            <w:pPr>
              <w:jc w:val="both"/>
              <w:rPr>
                <w:rFonts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val="en-US" w:eastAsia="zh-CN" w:bidi="ar"/>
              </w:rPr>
              <w:t>3</w:t>
            </w:r>
            <w:r>
              <w:rPr>
                <w:rFonts w:hint="eastAsia" w:ascii="仿宋" w:hAnsi="仿宋" w:eastAsia="仿宋" w:cs="仿宋"/>
                <w:color w:val="auto"/>
                <w:sz w:val="24"/>
                <w:szCs w:val="24"/>
                <w:highlight w:val="none"/>
                <w:lang w:bidi="ar"/>
              </w:rPr>
              <w:t>分</w:t>
            </w:r>
          </w:p>
          <w:p>
            <w:pPr>
              <w:pStyle w:val="23"/>
              <w:spacing w:before="120"/>
              <w:ind w:left="0" w:leftChars="0" w:firstLine="0" w:firstLineChars="0"/>
              <w:rPr>
                <w:rFonts w:hint="eastAsia" w:ascii="仿宋" w:hAnsi="仿宋" w:eastAsia="仿宋" w:cs="仿宋"/>
                <w:color w:val="auto"/>
                <w:highlight w:val="none"/>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bidi="ar"/>
              </w:rPr>
              <w:t>2</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经营能力</w:t>
            </w:r>
          </w:p>
        </w:tc>
        <w:tc>
          <w:tcPr>
            <w:tcW w:w="5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auto"/>
                <w:sz w:val="24"/>
                <w:szCs w:val="24"/>
                <w:lang w:bidi="ar"/>
              </w:rPr>
            </w:pPr>
            <w:r>
              <w:rPr>
                <w:rFonts w:hint="eastAsia" w:ascii="仿宋" w:hAnsi="仿宋" w:eastAsia="仿宋" w:cs="仿宋"/>
                <w:color w:val="auto"/>
                <w:sz w:val="24"/>
                <w:szCs w:val="24"/>
                <w:lang w:bidi="ar"/>
              </w:rPr>
              <w:t>投标人核准经营能力（吨/年）：1万(不含)-</w:t>
            </w:r>
            <w:r>
              <w:rPr>
                <w:rFonts w:ascii="仿宋" w:hAnsi="仿宋" w:eastAsia="仿宋" w:cs="仿宋"/>
                <w:color w:val="auto"/>
                <w:sz w:val="24"/>
                <w:szCs w:val="24"/>
                <w:lang w:bidi="ar"/>
              </w:rPr>
              <w:t>2</w:t>
            </w:r>
            <w:r>
              <w:rPr>
                <w:rFonts w:hint="eastAsia" w:ascii="仿宋" w:hAnsi="仿宋" w:eastAsia="仿宋" w:cs="仿宋"/>
                <w:color w:val="auto"/>
                <w:sz w:val="24"/>
                <w:szCs w:val="24"/>
                <w:lang w:bidi="ar"/>
              </w:rPr>
              <w:t>万的，得1分；5万(含)以上的，得2分。</w:t>
            </w:r>
          </w:p>
          <w:p>
            <w:pPr>
              <w:widowControl/>
              <w:rPr>
                <w:rFonts w:hint="eastAsia" w:ascii="仿宋" w:hAnsi="仿宋" w:eastAsia="仿宋" w:cs="仿宋"/>
                <w:b/>
                <w:bCs/>
                <w:color w:val="auto"/>
                <w:sz w:val="24"/>
                <w:szCs w:val="24"/>
                <w:lang w:eastAsia="zh-CN" w:bidi="ar"/>
              </w:rPr>
            </w:pPr>
            <w:r>
              <w:rPr>
                <w:rFonts w:hint="eastAsia" w:ascii="仿宋" w:hAnsi="仿宋" w:eastAsia="仿宋" w:cs="仿宋"/>
                <w:b/>
                <w:bCs/>
                <w:color w:val="auto"/>
                <w:sz w:val="24"/>
                <w:szCs w:val="24"/>
                <w:lang w:bidi="ar"/>
              </w:rPr>
              <w:t>（需提供相关证书复印件并加盖投标人公章，复印件进入投标文件，否则不得分）。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2分</w:t>
            </w:r>
          </w:p>
          <w:p>
            <w:pPr>
              <w:pStyle w:val="23"/>
              <w:spacing w:before="120"/>
              <w:ind w:left="0" w:leftChars="0" w:firstLine="0" w:firstLineChars="0"/>
              <w:rPr>
                <w:rFonts w:hint="eastAsia" w:ascii="仿宋" w:hAnsi="仿宋" w:eastAsia="仿宋" w:cs="仿宋"/>
                <w:color w:val="auto"/>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bidi="ar"/>
              </w:rPr>
              <w:t>3</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eastAsia="zh-CN" w:bidi="ar"/>
              </w:rPr>
              <w:t>总体服务</w:t>
            </w:r>
            <w:r>
              <w:rPr>
                <w:rFonts w:hint="eastAsia" w:ascii="仿宋" w:hAnsi="仿宋" w:eastAsia="仿宋" w:cs="仿宋"/>
                <w:color w:val="auto"/>
                <w:kern w:val="0"/>
                <w:sz w:val="24"/>
                <w:szCs w:val="24"/>
                <w:lang w:bidi="ar"/>
              </w:rPr>
              <w:t>方案</w:t>
            </w:r>
          </w:p>
        </w:tc>
        <w:tc>
          <w:tcPr>
            <w:tcW w:w="5628" w:type="dxa"/>
            <w:tcBorders>
              <w:top w:val="single" w:color="auto" w:sz="4" w:space="0"/>
              <w:left w:val="single" w:color="auto" w:sz="4" w:space="0"/>
              <w:bottom w:val="single" w:color="auto" w:sz="4" w:space="0"/>
              <w:right w:val="single" w:color="auto" w:sz="4" w:space="0"/>
            </w:tcBorders>
            <w:shd w:val="clear" w:color="auto" w:fill="FFFFFF"/>
          </w:tcPr>
          <w:p>
            <w:pPr>
              <w:widowControl/>
              <w:rPr>
                <w:rFonts w:hint="eastAsia" w:eastAsia="宋体"/>
                <w:color w:val="auto"/>
                <w:lang w:val="en-US" w:eastAsia="zh-CN" w:bidi="ar"/>
              </w:rPr>
            </w:pPr>
            <w:r>
              <w:rPr>
                <w:rFonts w:hint="eastAsia" w:ascii="仿宋" w:hAnsi="仿宋" w:eastAsia="仿宋" w:cs="仿宋"/>
                <w:color w:val="auto"/>
                <w:sz w:val="24"/>
                <w:szCs w:val="24"/>
                <w:highlight w:val="none"/>
                <w:lang w:val="en-US" w:eastAsia="zh-CN"/>
              </w:rPr>
              <w:t>根据投标人对本项目需求整体状况的理解和分析（0-5分）、重点难点分析和解决措施（0-5分）、总体服务设想及应对措施（0-5分）、合理化建议（0-5分）等，由评委进行酌情打分。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highlight w:val="none"/>
                <w:lang w:bidi="ar"/>
              </w:rPr>
            </w:pPr>
          </w:p>
          <w:p>
            <w:pPr>
              <w:pStyle w:val="23"/>
              <w:spacing w:before="120"/>
              <w:ind w:left="0" w:leftChars="0" w:firstLine="0" w:firstLineChars="0"/>
              <w:rPr>
                <w:rFonts w:hint="eastAsia" w:ascii="仿宋" w:hAnsi="仿宋" w:eastAsia="仿宋" w:cs="仿宋"/>
                <w:color w:val="auto"/>
                <w:highlight w:val="none"/>
                <w:lang w:val="en-US" w:bidi="ar"/>
              </w:rPr>
            </w:pPr>
            <w:r>
              <w:rPr>
                <w:rFonts w:hint="eastAsia" w:ascii="仿宋" w:hAnsi="仿宋" w:eastAsia="仿宋" w:cs="仿宋"/>
                <w:color w:val="auto"/>
                <w:highlight w:val="none"/>
                <w:lang w:val="en-US"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4</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sz w:val="24"/>
                <w:szCs w:val="24"/>
                <w:highlight w:val="none"/>
                <w:lang w:val="en-US" w:eastAsia="zh-CN"/>
              </w:rPr>
              <w:t>运输方案</w:t>
            </w:r>
          </w:p>
        </w:tc>
        <w:tc>
          <w:tcPr>
            <w:tcW w:w="562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根据投标人飞灰运输方案的组织合理性（0-5分）、高效便捷性（0-5分）、安全可靠性（0-5分）、确保项目清运要求的保障措施（0-5分）等，由评委进行酌情打分。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spacing w:before="120"/>
              <w:ind w:left="0" w:leftChars="0" w:firstLine="0" w:firstLineChars="0"/>
              <w:rPr>
                <w:rFonts w:hint="eastAsia" w:ascii="仿宋" w:hAnsi="仿宋" w:eastAsia="仿宋" w:cs="仿宋"/>
                <w:color w:val="auto"/>
                <w:highlight w:val="none"/>
                <w:lang w:val="en-US" w:eastAsia="zh-CN" w:bidi="ar"/>
              </w:rPr>
            </w:pPr>
            <w:r>
              <w:rPr>
                <w:rFonts w:hint="eastAsia" w:ascii="仿宋" w:hAnsi="仿宋" w:eastAsia="仿宋" w:cs="仿宋"/>
                <w:color w:val="auto"/>
                <w:highlight w:val="none"/>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6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w:t>
            </w:r>
          </w:p>
        </w:tc>
        <w:tc>
          <w:tcPr>
            <w:tcW w:w="1437"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飞灰处置方案</w:t>
            </w:r>
          </w:p>
        </w:tc>
        <w:tc>
          <w:tcPr>
            <w:tcW w:w="562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根据投标人飞灰</w:t>
            </w:r>
            <w:r>
              <w:rPr>
                <w:rFonts w:hint="eastAsia" w:ascii="仿宋" w:hAnsi="仿宋" w:eastAsia="仿宋" w:cs="仿宋"/>
                <w:color w:val="auto"/>
                <w:sz w:val="24"/>
                <w:szCs w:val="24"/>
                <w:highlight w:val="none"/>
                <w:lang w:val="en-US"/>
              </w:rPr>
              <w:t>处置方案</w:t>
            </w:r>
            <w:r>
              <w:rPr>
                <w:rFonts w:hint="eastAsia" w:ascii="仿宋" w:hAnsi="仿宋" w:eastAsia="仿宋" w:cs="仿宋"/>
                <w:color w:val="auto"/>
                <w:sz w:val="24"/>
                <w:szCs w:val="24"/>
                <w:highlight w:val="none"/>
                <w:lang w:val="en-US" w:eastAsia="zh-CN"/>
              </w:rPr>
              <w:t>的整体</w:t>
            </w:r>
            <w:r>
              <w:rPr>
                <w:rFonts w:hint="eastAsia" w:ascii="仿宋" w:hAnsi="仿宋" w:eastAsia="仿宋" w:cs="仿宋"/>
                <w:color w:val="auto"/>
                <w:sz w:val="24"/>
                <w:szCs w:val="24"/>
                <w:highlight w:val="none"/>
                <w:lang w:val="en-US"/>
              </w:rPr>
              <w:t>工艺流程</w:t>
            </w:r>
            <w:r>
              <w:rPr>
                <w:rFonts w:hint="eastAsia" w:ascii="仿宋" w:hAnsi="仿宋" w:eastAsia="仿宋" w:cs="仿宋"/>
                <w:color w:val="auto"/>
                <w:sz w:val="24"/>
                <w:szCs w:val="24"/>
                <w:highlight w:val="none"/>
                <w:lang w:val="en-US" w:eastAsia="zh-CN"/>
              </w:rPr>
              <w:t>先进性以及技术成熟度，由评委进行酌情打分。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spacing w:before="120"/>
              <w:ind w:left="0" w:leftChars="0" w:firstLine="0" w:firstLineChars="0"/>
              <w:rPr>
                <w:rFonts w:hint="eastAsia" w:ascii="仿宋" w:hAnsi="仿宋" w:eastAsia="仿宋" w:cs="仿宋"/>
                <w:color w:val="auto"/>
                <w:highlight w:val="none"/>
                <w:lang w:val="en-US" w:eastAsia="zh-CN" w:bidi="ar"/>
              </w:rPr>
            </w:pPr>
            <w:r>
              <w:rPr>
                <w:rFonts w:hint="eastAsia" w:ascii="仿宋" w:hAnsi="仿宋" w:eastAsia="仿宋" w:cs="仿宋"/>
                <w:color w:val="auto"/>
                <w:highlight w:val="none"/>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62"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bidi="ar"/>
              </w:rPr>
            </w:pPr>
          </w:p>
        </w:tc>
        <w:tc>
          <w:tcPr>
            <w:tcW w:w="1437"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hint="eastAsia" w:ascii="仿宋" w:hAnsi="仿宋" w:eastAsia="仿宋" w:cs="仿宋"/>
                <w:color w:val="auto"/>
                <w:sz w:val="24"/>
                <w:szCs w:val="24"/>
                <w:highlight w:val="none"/>
                <w:lang w:val="en-US" w:eastAsia="zh-CN"/>
              </w:rPr>
            </w:pPr>
          </w:p>
        </w:tc>
        <w:tc>
          <w:tcPr>
            <w:tcW w:w="562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根据投标人飞灰处置设备的先进性（0-5分）、稳定性（0-5分）、安全性（0-5分）等三方面，由评委进行酌情评分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spacing w:before="120"/>
              <w:ind w:left="0" w:leftChars="0" w:firstLine="0" w:firstLineChars="0"/>
              <w:rPr>
                <w:rFonts w:hint="eastAsia" w:ascii="仿宋" w:hAnsi="仿宋" w:eastAsia="仿宋" w:cs="仿宋"/>
                <w:color w:val="auto"/>
                <w:highlight w:val="none"/>
                <w:lang w:val="en-US" w:eastAsia="zh-CN" w:bidi="ar"/>
              </w:rPr>
            </w:pPr>
            <w:r>
              <w:rPr>
                <w:rFonts w:hint="eastAsia" w:ascii="仿宋" w:hAnsi="仿宋" w:eastAsia="仿宋" w:cs="仿宋"/>
                <w:color w:val="auto"/>
                <w:highlight w:val="none"/>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bidi="ar"/>
              </w:rPr>
              <w:t>6</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团队成员及项目负责人情况</w:t>
            </w:r>
          </w:p>
        </w:tc>
        <w:tc>
          <w:tcPr>
            <w:tcW w:w="5628" w:type="dxa"/>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 w:hAnsi="仿宋" w:eastAsia="仿宋" w:cs="仿宋"/>
                <w:color w:val="auto"/>
                <w:sz w:val="24"/>
                <w:szCs w:val="24"/>
                <w:highlight w:val="none"/>
                <w:lang w:val="en-US" w:eastAsia="zh-CN"/>
              </w:rPr>
            </w:pPr>
            <w:r>
              <w:rPr>
                <w:rFonts w:hint="eastAsia" w:ascii="仿宋" w:hAnsi="仿宋" w:eastAsia="仿宋" w:cs="仿宋"/>
                <w:color w:val="FF0000"/>
                <w:sz w:val="24"/>
                <w:szCs w:val="24"/>
                <w:highlight w:val="none"/>
                <w:lang w:val="en-US" w:eastAsia="zh-CN"/>
              </w:rPr>
              <w:t>（</w:t>
            </w:r>
            <w:r>
              <w:rPr>
                <w:rFonts w:hint="eastAsia" w:ascii="仿宋" w:hAnsi="仿宋" w:eastAsia="仿宋" w:cs="仿宋"/>
                <w:color w:val="auto"/>
                <w:sz w:val="24"/>
                <w:szCs w:val="24"/>
                <w:highlight w:val="none"/>
                <w:lang w:val="en-US" w:eastAsia="zh-CN"/>
              </w:rPr>
              <w:t>1）拟投入本</w:t>
            </w:r>
            <w:r>
              <w:rPr>
                <w:rFonts w:hint="eastAsia" w:ascii="仿宋" w:hAnsi="仿宋" w:eastAsia="仿宋" w:cs="仿宋"/>
                <w:color w:val="auto"/>
                <w:sz w:val="24"/>
                <w:szCs w:val="24"/>
                <w:highlight w:val="none"/>
                <w:lang w:val="en-US"/>
              </w:rPr>
              <w:t>项目</w:t>
            </w:r>
            <w:r>
              <w:rPr>
                <w:rFonts w:hint="eastAsia" w:ascii="仿宋" w:hAnsi="仿宋" w:eastAsia="仿宋" w:cs="仿宋"/>
                <w:color w:val="auto"/>
                <w:sz w:val="24"/>
                <w:szCs w:val="24"/>
                <w:highlight w:val="none"/>
                <w:lang w:val="en-US" w:eastAsia="zh-CN"/>
              </w:rPr>
              <w:t>的项目负责人具</w:t>
            </w:r>
            <w:r>
              <w:rPr>
                <w:rFonts w:hint="eastAsia" w:ascii="仿宋" w:hAnsi="仿宋" w:eastAsia="仿宋" w:cs="仿宋"/>
                <w:color w:val="auto"/>
                <w:sz w:val="24"/>
                <w:szCs w:val="24"/>
                <w:highlight w:val="none"/>
                <w:lang w:val="en-US"/>
              </w:rPr>
              <w:t>有注册安全工程师</w:t>
            </w:r>
            <w:r>
              <w:rPr>
                <w:rFonts w:hint="eastAsia" w:ascii="仿宋" w:hAnsi="仿宋" w:eastAsia="仿宋" w:cs="仿宋"/>
                <w:color w:val="auto"/>
                <w:sz w:val="24"/>
                <w:szCs w:val="24"/>
                <w:highlight w:val="none"/>
                <w:lang w:val="en-US" w:eastAsia="zh-CN"/>
              </w:rPr>
              <w:t>职称得3分。</w:t>
            </w:r>
          </w:p>
          <w:p>
            <w:pPr>
              <w:widowControl/>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（2）拟投入本项目团队人员具有</w:t>
            </w:r>
            <w:r>
              <w:rPr>
                <w:rFonts w:hint="eastAsia" w:ascii="仿宋" w:hAnsi="仿宋" w:eastAsia="仿宋" w:cs="仿宋"/>
                <w:color w:val="auto"/>
                <w:sz w:val="24"/>
                <w:szCs w:val="24"/>
                <w:highlight w:val="none"/>
                <w:lang w:val="en-US"/>
              </w:rPr>
              <w:t>环保、化工类高级工程师</w:t>
            </w:r>
            <w:r>
              <w:rPr>
                <w:rFonts w:hint="eastAsia" w:ascii="仿宋" w:hAnsi="仿宋" w:eastAsia="仿宋" w:cs="仿宋"/>
                <w:color w:val="auto"/>
                <w:sz w:val="24"/>
                <w:szCs w:val="24"/>
                <w:highlight w:val="none"/>
                <w:lang w:val="en-US" w:eastAsia="zh-CN"/>
              </w:rPr>
              <w:t>及以上职称得3分。</w:t>
            </w:r>
          </w:p>
          <w:p>
            <w:pPr>
              <w:widowControl/>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（3）拟投入本项目</w:t>
            </w:r>
            <w:r>
              <w:rPr>
                <w:rFonts w:hint="eastAsia" w:ascii="仿宋" w:hAnsi="仿宋" w:eastAsia="仿宋" w:cs="仿宋"/>
                <w:color w:val="auto"/>
                <w:sz w:val="24"/>
                <w:szCs w:val="24"/>
                <w:highlight w:val="none"/>
                <w:lang w:val="en-US"/>
              </w:rPr>
              <w:t>其他专业人员配置情况</w:t>
            </w:r>
            <w:r>
              <w:rPr>
                <w:rFonts w:hint="eastAsia" w:ascii="仿宋" w:hAnsi="仿宋" w:eastAsia="仿宋" w:cs="仿宋"/>
                <w:color w:val="auto"/>
                <w:sz w:val="24"/>
                <w:szCs w:val="24"/>
                <w:highlight w:val="none"/>
                <w:lang w:val="en-US" w:eastAsia="zh-CN"/>
              </w:rPr>
              <w:t>，由评委进行酌情打分。</w:t>
            </w:r>
            <w:r>
              <w:rPr>
                <w:rFonts w:hint="eastAsia" w:ascii="仿宋" w:hAnsi="仿宋" w:eastAsia="仿宋" w:cs="仿宋"/>
                <w:color w:val="auto"/>
                <w:sz w:val="24"/>
                <w:szCs w:val="24"/>
                <w:highlight w:val="none"/>
                <w:lang w:val="en-US"/>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val="en-US"/>
              </w:rPr>
              <w:t>4分）</w:t>
            </w:r>
          </w:p>
          <w:p>
            <w:pPr>
              <w:pStyle w:val="7"/>
              <w:spacing w:line="240" w:lineRule="auto"/>
              <w:rPr>
                <w:color w:val="auto"/>
                <w:lang w:val="en-US"/>
              </w:rPr>
            </w:pPr>
            <w:r>
              <w:rPr>
                <w:rFonts w:hint="eastAsia" w:ascii="仿宋" w:hAnsi="仿宋" w:eastAsia="仿宋" w:cs="仿宋"/>
                <w:b/>
                <w:bCs/>
                <w:color w:val="auto"/>
                <w:kern w:val="0"/>
                <w:sz w:val="24"/>
                <w:szCs w:val="24"/>
                <w:highlight w:val="none"/>
                <w:lang w:val="en-US" w:eastAsia="zh-CN"/>
              </w:rPr>
              <w:t>注：以上人员不重复得分，需提供近3个月其中任意一个月社保证明及证书复印件并加盖投标人公章，复印件进入投标文件，否则不得分）。</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highlight w:val="none"/>
                <w:lang w:bidi="ar"/>
              </w:rPr>
            </w:pPr>
          </w:p>
          <w:p>
            <w:pPr>
              <w:pStyle w:val="23"/>
              <w:spacing w:before="120"/>
              <w:ind w:left="0" w:leftChars="0" w:firstLine="0" w:firstLineChars="0"/>
              <w:rPr>
                <w:rFonts w:hint="eastAsia" w:ascii="仿宋" w:hAnsi="仿宋" w:eastAsia="仿宋" w:cs="仿宋"/>
                <w:color w:val="auto"/>
                <w:highlight w:val="none"/>
                <w:lang w:val="en-US" w:bidi="ar"/>
              </w:rPr>
            </w:pPr>
            <w:r>
              <w:rPr>
                <w:rFonts w:hint="eastAsia" w:ascii="仿宋" w:hAnsi="仿宋" w:eastAsia="仿宋" w:cs="仿宋"/>
                <w:color w:val="auto"/>
                <w:highlight w:val="none"/>
                <w:lang w:val="en-US"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bidi="ar"/>
              </w:rPr>
              <w:t>7</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val="zh-CN" w:bidi="ar"/>
              </w:rPr>
              <w:t>突发事件应急处理措施</w:t>
            </w:r>
          </w:p>
        </w:tc>
        <w:tc>
          <w:tcPr>
            <w:tcW w:w="5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sz w:val="24"/>
                <w:szCs w:val="24"/>
                <w:lang w:bidi="ar"/>
              </w:rPr>
            </w:pPr>
            <w:r>
              <w:rPr>
                <w:rFonts w:hint="eastAsia" w:ascii="仿宋" w:hAnsi="仿宋" w:eastAsia="仿宋" w:cs="仿宋"/>
                <w:color w:val="auto"/>
                <w:sz w:val="24"/>
                <w:szCs w:val="24"/>
                <w:lang w:bidi="ar"/>
              </w:rPr>
              <w:t>项目实施过程中可能出现的突发事件及对应的紧急预案</w:t>
            </w:r>
            <w:r>
              <w:rPr>
                <w:rFonts w:hint="eastAsia" w:ascii="仿宋" w:hAnsi="仿宋" w:eastAsia="仿宋" w:cs="仿宋"/>
                <w:color w:val="auto"/>
                <w:sz w:val="24"/>
                <w:szCs w:val="24"/>
                <w:lang w:eastAsia="zh-CN" w:bidi="ar"/>
              </w:rPr>
              <w:t>，由评委进行酌情打分</w:t>
            </w:r>
            <w:r>
              <w:rPr>
                <w:rFonts w:hint="eastAsia" w:ascii="仿宋" w:hAnsi="仿宋" w:eastAsia="仿宋" w:cs="仿宋"/>
                <w:color w:val="auto"/>
                <w:sz w:val="24"/>
                <w:szCs w:val="24"/>
                <w:lang w:bidi="ar"/>
              </w:rPr>
              <w:t>。</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spacing w:before="120"/>
              <w:ind w:left="0" w:leftChars="0" w:firstLine="0" w:firstLineChars="0"/>
              <w:jc w:val="center"/>
              <w:rPr>
                <w:rFonts w:hint="eastAsia" w:ascii="仿宋" w:hAnsi="仿宋" w:eastAsia="仿宋" w:cs="仿宋"/>
                <w:color w:val="auto"/>
                <w:highlight w:val="none"/>
                <w:lang w:val="en-US" w:eastAsia="zh-CN" w:bidi="ar"/>
              </w:rPr>
            </w:pPr>
            <w:r>
              <w:rPr>
                <w:rFonts w:hint="eastAsia" w:ascii="仿宋" w:hAnsi="仿宋" w:eastAsia="仿宋" w:cs="仿宋"/>
                <w:color w:val="auto"/>
                <w:highlight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bidi="ar"/>
              </w:rPr>
              <w:t>8</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施工现场的环保保证措施</w:t>
            </w:r>
          </w:p>
        </w:tc>
        <w:tc>
          <w:tcPr>
            <w:tcW w:w="5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auto"/>
                <w:sz w:val="24"/>
                <w:szCs w:val="24"/>
                <w:lang w:bidi="ar"/>
              </w:rPr>
            </w:pPr>
            <w:r>
              <w:rPr>
                <w:rFonts w:hint="eastAsia" w:ascii="仿宋" w:hAnsi="仿宋" w:eastAsia="仿宋" w:cs="仿宋"/>
                <w:color w:val="auto"/>
                <w:sz w:val="24"/>
                <w:szCs w:val="24"/>
                <w:lang w:bidi="ar"/>
              </w:rPr>
              <w:t>针对投标人为达到招标环保要求作出的相关保证措施</w:t>
            </w:r>
            <w:r>
              <w:rPr>
                <w:rFonts w:hint="eastAsia" w:ascii="仿宋" w:hAnsi="仿宋" w:eastAsia="仿宋" w:cs="仿宋"/>
                <w:color w:val="auto"/>
                <w:sz w:val="24"/>
                <w:szCs w:val="24"/>
                <w:lang w:eastAsia="zh-CN" w:bidi="ar"/>
              </w:rPr>
              <w:t>，由评委</w:t>
            </w:r>
            <w:r>
              <w:rPr>
                <w:rFonts w:hint="eastAsia" w:ascii="仿宋" w:hAnsi="仿宋" w:eastAsia="仿宋" w:cs="仿宋"/>
                <w:color w:val="auto"/>
                <w:sz w:val="24"/>
                <w:szCs w:val="24"/>
                <w:lang w:bidi="ar"/>
              </w:rPr>
              <w:t>进行</w:t>
            </w:r>
            <w:r>
              <w:rPr>
                <w:rFonts w:hint="eastAsia" w:ascii="仿宋" w:hAnsi="仿宋" w:eastAsia="仿宋" w:cs="仿宋"/>
                <w:color w:val="auto"/>
                <w:sz w:val="24"/>
                <w:szCs w:val="24"/>
                <w:lang w:eastAsia="zh-CN" w:bidi="ar"/>
              </w:rPr>
              <w:t>酌情</w:t>
            </w:r>
            <w:r>
              <w:rPr>
                <w:rFonts w:hint="eastAsia" w:ascii="仿宋" w:hAnsi="仿宋" w:eastAsia="仿宋" w:cs="仿宋"/>
                <w:color w:val="auto"/>
                <w:sz w:val="24"/>
                <w:szCs w:val="24"/>
                <w:lang w:bidi="ar"/>
              </w:rPr>
              <w:t>打分。</w:t>
            </w:r>
          </w:p>
          <w:p>
            <w:pPr>
              <w:widowControl/>
              <w:jc w:val="left"/>
              <w:rPr>
                <w:rFonts w:ascii="仿宋" w:hAnsi="仿宋" w:eastAsia="仿宋" w:cs="仿宋"/>
                <w:color w:val="auto"/>
                <w:sz w:val="24"/>
                <w:szCs w:val="24"/>
                <w:lang w:bidi="ar"/>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4"/>
                <w:highlight w:val="none"/>
                <w:lang w:bidi="ar"/>
              </w:rPr>
            </w:pPr>
          </w:p>
          <w:p>
            <w:pPr>
              <w:pStyle w:val="23"/>
              <w:spacing w:before="120"/>
              <w:ind w:left="0" w:leftChars="0" w:firstLine="0" w:firstLineChars="0"/>
              <w:jc w:val="center"/>
              <w:rPr>
                <w:rFonts w:hint="eastAsia" w:ascii="仿宋" w:hAnsi="仿宋" w:eastAsia="仿宋" w:cs="仿宋"/>
                <w:color w:val="auto"/>
                <w:highlight w:val="none"/>
                <w:lang w:val="en-US" w:bidi="ar"/>
              </w:rPr>
            </w:pPr>
            <w:r>
              <w:rPr>
                <w:rFonts w:hint="eastAsia" w:ascii="仿宋" w:hAnsi="仿宋" w:eastAsia="仿宋" w:cs="仿宋"/>
                <w:color w:val="auto"/>
                <w:highlight w:val="none"/>
                <w:lang w:val="en-US" w:bidi="ar"/>
              </w:rPr>
              <w:t>5分</w:t>
            </w:r>
          </w:p>
          <w:p>
            <w:pPr>
              <w:pStyle w:val="23"/>
              <w:spacing w:before="120"/>
              <w:jc w:val="center"/>
              <w:rPr>
                <w:rFonts w:hint="eastAsia" w:ascii="仿宋" w:hAnsi="仿宋" w:eastAsia="仿宋" w:cs="仿宋"/>
                <w:color w:val="auto"/>
                <w:highlight w:val="none"/>
                <w:lang w:val="en-US" w:bidi="ar"/>
              </w:rPr>
            </w:pPr>
          </w:p>
        </w:tc>
      </w:tr>
    </w:tbl>
    <w:p>
      <w:pPr>
        <w:spacing w:line="360" w:lineRule="auto"/>
        <w:ind w:firstLine="482" w:firstLineChars="200"/>
        <w:rPr>
          <w:rFonts w:ascii="仿宋" w:hAnsi="仿宋" w:eastAsia="仿宋" w:cs="仿宋"/>
          <w:b/>
          <w:bCs/>
          <w:sz w:val="24"/>
          <w:szCs w:val="24"/>
        </w:rPr>
      </w:pPr>
      <w:bookmarkStart w:id="609" w:name="_Toc335664301"/>
      <w:bookmarkStart w:id="610" w:name="_Toc493956082"/>
      <w:r>
        <w:rPr>
          <w:rFonts w:hint="eastAsia" w:ascii="仿宋" w:hAnsi="仿宋" w:eastAsia="仿宋" w:cs="仿宋"/>
          <w:b/>
          <w:bCs/>
          <w:sz w:val="24"/>
          <w:szCs w:val="24"/>
        </w:rPr>
        <w:t>5.2投标人报价满分为</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0分， 报价权重</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0%，由评标委员会根据以下内容统一计算打分：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5.2.1 最终报价超过最高限价的投标人不进入报价评分。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5.2.2 最终报价有漏项的或报价数量少于招标文件要求数量的，其报价无效，且报价得分为0分，并不得推荐为中标候选人。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如最终报价有增项的或报价数量多于招标文件要求数量的，不对其投标价格进行修正。若该投标人中标的，将按其承诺的有利于采购人的增项和数量进行供货，风险由中标人自行承担。</w:t>
      </w:r>
    </w:p>
    <w:p>
      <w:pPr>
        <w:spacing w:line="360" w:lineRule="auto"/>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rPr>
        <w:t>5.2.3 报价得分按以下方式计算：</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kern w:val="0"/>
          <w:sz w:val="24"/>
          <w:szCs w:val="24"/>
          <w:highlight w:val="none"/>
        </w:rPr>
        <w:fldChar w:fldCharType="begin"/>
      </w:r>
      <w:r>
        <w:rPr>
          <w:rFonts w:hint="eastAsia" w:ascii="仿宋" w:hAnsi="仿宋" w:eastAsia="仿宋" w:cs="仿宋"/>
          <w:kern w:val="0"/>
          <w:sz w:val="24"/>
          <w:szCs w:val="24"/>
          <w:highlight w:val="none"/>
        </w:rPr>
        <w:instrText xml:space="preserve"> = 1 \* GB2 </w:instrText>
      </w:r>
      <w:r>
        <w:rPr>
          <w:rFonts w:hint="eastAsia"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⑴</w:t>
      </w:r>
      <w:r>
        <w:rPr>
          <w:rFonts w:hint="eastAsia" w:ascii="仿宋" w:hAnsi="仿宋" w:eastAsia="仿宋" w:cs="仿宋"/>
          <w:kern w:val="0"/>
          <w:sz w:val="24"/>
          <w:szCs w:val="24"/>
          <w:highlight w:val="none"/>
        </w:rPr>
        <w:fldChar w:fldCharType="end"/>
      </w:r>
      <w:r>
        <w:rPr>
          <w:rFonts w:hint="eastAsia" w:ascii="仿宋" w:hAnsi="仿宋" w:eastAsia="仿宋" w:cs="仿宋"/>
          <w:sz w:val="24"/>
          <w:szCs w:val="24"/>
          <w:highlight w:val="none"/>
        </w:rPr>
        <w:t>小微企业、监狱企业和残疾人福利企业（统称为小微企业）产品价格给予</w:t>
      </w:r>
      <w:r>
        <w:rPr>
          <w:rFonts w:hint="eastAsia" w:ascii="仿宋" w:hAnsi="仿宋" w:eastAsia="仿宋" w:cs="仿宋"/>
          <w:sz w:val="24"/>
          <w:szCs w:val="24"/>
          <w:highlight w:val="none"/>
          <w:lang w:eastAsia="zh-CN"/>
        </w:rPr>
        <w:t>0</w:t>
      </w:r>
      <w:r>
        <w:rPr>
          <w:rFonts w:hint="eastAsia" w:ascii="仿宋" w:hAnsi="仿宋" w:eastAsia="仿宋" w:cs="仿宋"/>
          <w:sz w:val="24"/>
          <w:szCs w:val="24"/>
          <w:highlight w:val="none"/>
        </w:rPr>
        <w:t>%的扣除，投标报价计算公式如下：</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投标报价=∑其他的产品报价+∑小微企业产品报价×（1-0%）；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GB2 </w:instrText>
      </w:r>
      <w:r>
        <w:rPr>
          <w:rFonts w:hint="eastAsia" w:ascii="仿宋" w:hAnsi="仿宋" w:eastAsia="仿宋" w:cs="仿宋"/>
          <w:sz w:val="24"/>
          <w:szCs w:val="24"/>
        </w:rPr>
        <w:fldChar w:fldCharType="separate"/>
      </w:r>
      <w:r>
        <w:rPr>
          <w:rFonts w:hint="eastAsia" w:ascii="仿宋" w:hAnsi="仿宋" w:eastAsia="仿宋" w:cs="仿宋"/>
          <w:sz w:val="24"/>
          <w:szCs w:val="24"/>
        </w:rPr>
        <w:t>⑵</w:t>
      </w:r>
      <w:r>
        <w:rPr>
          <w:rFonts w:hint="eastAsia" w:ascii="仿宋" w:hAnsi="仿宋" w:eastAsia="仿宋" w:cs="仿宋"/>
          <w:sz w:val="24"/>
          <w:szCs w:val="24"/>
        </w:rPr>
        <w:fldChar w:fldCharType="end"/>
      </w:r>
      <w:r>
        <w:rPr>
          <w:rFonts w:hint="eastAsia" w:ascii="仿宋" w:hAnsi="仿宋" w:eastAsia="仿宋" w:cs="仿宋"/>
          <w:sz w:val="24"/>
          <w:szCs w:val="24"/>
        </w:rPr>
        <w:t>并以调整后的价格计算评标基准价和投标报价；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GB2 </w:instrText>
      </w:r>
      <w:r>
        <w:rPr>
          <w:rFonts w:hint="eastAsia" w:ascii="仿宋" w:hAnsi="仿宋" w:eastAsia="仿宋" w:cs="仿宋"/>
          <w:sz w:val="24"/>
          <w:szCs w:val="24"/>
        </w:rPr>
        <w:fldChar w:fldCharType="separate"/>
      </w:r>
      <w:r>
        <w:rPr>
          <w:rFonts w:hint="eastAsia" w:ascii="仿宋" w:hAnsi="仿宋" w:eastAsia="仿宋" w:cs="仿宋"/>
          <w:sz w:val="24"/>
          <w:szCs w:val="24"/>
        </w:rPr>
        <w:t>⑶</w:t>
      </w:r>
      <w:r>
        <w:rPr>
          <w:rFonts w:hint="eastAsia" w:ascii="仿宋" w:hAnsi="仿宋" w:eastAsia="仿宋" w:cs="仿宋"/>
          <w:sz w:val="24"/>
          <w:szCs w:val="24"/>
        </w:rPr>
        <w:fldChar w:fldCharType="end"/>
      </w:r>
      <w:r>
        <w:rPr>
          <w:rFonts w:hint="eastAsia" w:ascii="仿宋" w:hAnsi="仿宋" w:eastAsia="仿宋" w:cs="仿宋"/>
          <w:sz w:val="24"/>
          <w:szCs w:val="24"/>
        </w:rPr>
        <w:t>评标基准价=投标报价中的最低报价；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GB2 </w:instrText>
      </w:r>
      <w:r>
        <w:rPr>
          <w:rFonts w:hint="eastAsia" w:ascii="仿宋" w:hAnsi="仿宋" w:eastAsia="仿宋" w:cs="仿宋"/>
          <w:sz w:val="24"/>
          <w:szCs w:val="24"/>
        </w:rPr>
        <w:fldChar w:fldCharType="separate"/>
      </w:r>
      <w:r>
        <w:rPr>
          <w:rFonts w:hint="eastAsia" w:ascii="仿宋" w:hAnsi="仿宋" w:eastAsia="仿宋" w:cs="仿宋"/>
          <w:sz w:val="24"/>
          <w:szCs w:val="24"/>
        </w:rPr>
        <w:t>⑷</w:t>
      </w:r>
      <w:r>
        <w:rPr>
          <w:rFonts w:hint="eastAsia" w:ascii="仿宋" w:hAnsi="仿宋" w:eastAsia="仿宋" w:cs="仿宋"/>
          <w:sz w:val="24"/>
          <w:szCs w:val="24"/>
        </w:rPr>
        <w:fldChar w:fldCharType="end"/>
      </w:r>
      <w:r>
        <w:rPr>
          <w:rFonts w:hint="eastAsia" w:ascii="仿宋" w:hAnsi="仿宋" w:eastAsia="仿宋" w:cs="仿宋"/>
          <w:sz w:val="24"/>
          <w:szCs w:val="24"/>
        </w:rPr>
        <w:t>投标报价等于评标基准价的得</w:t>
      </w:r>
      <w:r>
        <w:rPr>
          <w:rFonts w:hint="eastAsia" w:ascii="仿宋" w:hAnsi="仿宋" w:eastAsia="仿宋" w:cs="仿宋"/>
          <w:sz w:val="24"/>
          <w:szCs w:val="24"/>
          <w:lang w:val="en-US" w:eastAsia="zh-CN"/>
        </w:rPr>
        <w:t>1</w:t>
      </w:r>
      <w:r>
        <w:rPr>
          <w:rFonts w:hint="eastAsia" w:ascii="仿宋" w:hAnsi="仿宋" w:eastAsia="仿宋" w:cs="仿宋"/>
          <w:sz w:val="24"/>
          <w:szCs w:val="24"/>
        </w:rPr>
        <w:t>0分，其他投标人的报价得分按下列公式</w:t>
      </w:r>
      <w:r>
        <w:rPr>
          <w:rFonts w:hint="eastAsia" w:ascii="仿宋" w:hAnsi="仿宋" w:eastAsia="仿宋" w:cs="仿宋"/>
          <w:color w:val="auto"/>
          <w:sz w:val="24"/>
          <w:szCs w:val="24"/>
        </w:rPr>
        <w:t>计算：</w:t>
      </w:r>
    </w:p>
    <w:p>
      <w:pPr>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投标报价得分=（评定基准价/投标报价）×报价权重×100。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 本项目最终得分=资信商务技术得分＋报价得分；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5.4 评分时保留小数2位，计算评分值时保留小数2位，小数点采用四舍五入方法。</w:t>
      </w:r>
    </w:p>
    <w:p>
      <w:pPr>
        <w:pStyle w:val="4"/>
        <w:keepLines w:val="0"/>
        <w:snapToGrid w:val="0"/>
        <w:spacing w:before="200" w:after="200"/>
        <w:ind w:firstLine="0" w:firstLineChars="0"/>
        <w:textAlignment w:val="baseline"/>
        <w:rPr>
          <w:rFonts w:ascii="仿宋" w:hAnsi="仿宋" w:eastAsia="仿宋" w:cs="仿宋"/>
        </w:rPr>
      </w:pPr>
      <w:bookmarkStart w:id="611" w:name="_Toc29502"/>
      <w:bookmarkStart w:id="612" w:name="_Toc5053"/>
      <w:bookmarkStart w:id="613" w:name="_Toc9873"/>
      <w:bookmarkStart w:id="614" w:name="_Toc19634"/>
      <w:bookmarkStart w:id="615" w:name="_Toc14710"/>
      <w:bookmarkStart w:id="616" w:name="_Toc14628"/>
      <w:bookmarkStart w:id="617" w:name="_Toc27107"/>
      <w:bookmarkStart w:id="618" w:name="_Toc9473"/>
      <w:bookmarkStart w:id="619" w:name="_Toc15128"/>
      <w:bookmarkStart w:id="620" w:name="_Toc22382"/>
      <w:r>
        <w:rPr>
          <w:rFonts w:hint="eastAsia" w:ascii="仿宋" w:hAnsi="仿宋" w:eastAsia="仿宋" w:cs="仿宋"/>
        </w:rPr>
        <w:t>六、评审纪律和要求</w:t>
      </w:r>
      <w:bookmarkEnd w:id="609"/>
      <w:bookmarkEnd w:id="610"/>
      <w:bookmarkEnd w:id="611"/>
      <w:bookmarkEnd w:id="612"/>
      <w:bookmarkEnd w:id="613"/>
      <w:bookmarkEnd w:id="614"/>
      <w:bookmarkEnd w:id="615"/>
      <w:bookmarkEnd w:id="616"/>
      <w:bookmarkEnd w:id="617"/>
      <w:bookmarkEnd w:id="618"/>
      <w:bookmarkEnd w:id="619"/>
      <w:bookmarkEnd w:id="620"/>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 评审专家必须公平、公正评审，遵纪守法，客观、廉洁地履行职责。</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6.2 评审专家在评审开始前，应关闭并上交随身携带的各种通信工具。</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6.3 评审专家在评审过程中，未经许可不得中途离开评审现场，不得迟到早退。</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6.4 评审专家和工作人员不得透露评审过程中的讨论情况和评审结果。</w:t>
      </w:r>
    </w:p>
    <w:p>
      <w:pPr>
        <w:snapToGrid w:val="0"/>
        <w:spacing w:line="360" w:lineRule="auto"/>
        <w:ind w:firstLine="480"/>
        <w:textAlignment w:val="baseline"/>
        <w:rPr>
          <w:rFonts w:ascii="仿宋" w:hAnsi="仿宋" w:eastAsia="仿宋" w:cs="仿宋"/>
          <w:sz w:val="24"/>
        </w:rPr>
      </w:pPr>
      <w:r>
        <w:rPr>
          <w:rFonts w:hint="eastAsia" w:ascii="仿宋" w:hAnsi="仿宋" w:eastAsia="仿宋" w:cs="仿宋"/>
          <w:sz w:val="24"/>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6.6 采购人、采购代理机构不得向评标委员会的评审专家作倾向性、误导性的解释或者说明。</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6.8 评审专家在评审过程中不得将自己的观点强加给其他评审专家，评审专家应自主发表见解，对评审意见承担个人责任。</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6.9 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w:t>
      </w:r>
      <w:r>
        <w:rPr>
          <w:rFonts w:hint="eastAsia" w:ascii="仿宋" w:hAnsi="仿宋" w:eastAsia="仿宋" w:cs="仿宋"/>
          <w:sz w:val="24"/>
          <w:szCs w:val="24"/>
        </w:rPr>
        <w:t>如排名第一的投标人报价为最高报价的，评审报告中须对其报价的合理性等进行分析和特别说明。</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6.10 评审专家应当独立、客观、公正地提出评审意见，不得带有倾向性，不得影响其他评审专家评审，并在评审报告上签字；如对评审报告有异议的，可在报告上签署不同意见，并说明理由，否则将视为同意。</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6.11 评审专家应当遵守评审工作纪律，不得泄露评审文件、评审情况和评审中获悉的商业秘密。</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评标委员会在评审过程中发现投标人有行贿、提供虚假材料或者串通等违法行为的，应当及时向财政部门报告。</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6.12 招标文件内容违反国家有关强制性规定的，评标委员会应当停止评审并向采购代理机构说明情况。</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6.13 评审专家应当配合采购代理机构答复投标人提出的质疑。</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6.14 评审专家应当配合财政部门的投诉处理工作。</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6.15评审专家有如下行为之一的，责令改正，给予警告，可以并处一千元以下的罚款：</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6.15.1 明知应当回避而未主动回避的；</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6.15.2 在知道自己为评审专家身份后至评审结束前的时段内私下接触投标人的；</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6.15.3 在评审过程中擅离职守，影响评审程序正常进行的；</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6.15.4 在评审过程有明显不合理或者不正当倾向性的；</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6.15.5 未按招标文件规定的评审方法和标准进行评审的。</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6.15.6 上述6.15.1至6.15.5行为影响中标结果的，中标结果无效。</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6.16 采购代理机构可对各评审专家的专业技术水平和职业道德素质等情况进行评价，并可将评价意见在评审结束后2个工作日内反馈给财政部门，财政部门以此作为对评审专家的考核管理依据。</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政府采购评审专家与投标人存在利害关系未回避的，处2万元以上5万元以下的罚款，禁止其参加政府采购评审活动。</w:t>
      </w:r>
    </w:p>
    <w:p>
      <w:pPr>
        <w:snapToGrid w:val="0"/>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政府采购评审专家收受采购人、采购代理机构、投标人贿赂或者获取其他不正当利益，构成犯罪的，依法追究刑事责任；尚不构成犯罪的，处2万元以上5万元以下的罚款，禁止其参加政府采购评审活动。</w:t>
      </w:r>
    </w:p>
    <w:p>
      <w:pPr>
        <w:snapToGrid w:val="0"/>
        <w:spacing w:line="360" w:lineRule="auto"/>
        <w:ind w:firstLine="480" w:firstLineChars="200"/>
        <w:textAlignment w:val="baseline"/>
        <w:rPr>
          <w:rFonts w:ascii="仿宋" w:hAnsi="仿宋" w:eastAsia="仿宋" w:cs="仿宋"/>
          <w:sz w:val="20"/>
        </w:rPr>
      </w:pPr>
      <w:r>
        <w:rPr>
          <w:rFonts w:hint="eastAsia" w:ascii="仿宋" w:hAnsi="仿宋" w:eastAsia="仿宋" w:cs="仿宋"/>
          <w:sz w:val="24"/>
        </w:rPr>
        <w:t>政府采购评审专家有上述违法行为的，其评审意见无效，不得获取评审费；有违法所得的，没收违法所得；给他人造成损失的，依法承担民事责任。</w:t>
      </w:r>
    </w:p>
    <w:p>
      <w:pPr>
        <w:snapToGrid w:val="0"/>
        <w:spacing w:line="360" w:lineRule="auto"/>
        <w:ind w:firstLine="400" w:firstLineChars="200"/>
        <w:textAlignment w:val="baseline"/>
        <w:rPr>
          <w:rFonts w:ascii="仿宋" w:hAnsi="仿宋" w:eastAsia="仿宋" w:cs="仿宋"/>
          <w:sz w:val="20"/>
        </w:rPr>
      </w:pPr>
    </w:p>
    <w:sectPr>
      <w:footerReference r:id="rId12" w:type="default"/>
      <w:pgSz w:w="11906" w:h="16838"/>
      <w:pgMar w:top="1440" w:right="1758" w:bottom="1440" w:left="175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 w:val="left" w:pos="8364"/>
      </w:tabs>
      <w:snapToGrid w:val="0"/>
      <w:spacing w:before="0" w:beforeAutospacing="0" w:after="0" w:afterAutospacing="0"/>
      <w:ind w:right="26"/>
      <w:rPr>
        <w:rFonts w:ascii="仿宋" w:hAnsi="仿宋" w:eastAsia="仿宋" w:cs="Times New Roman"/>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自选图形 102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25" o:spid="_x0000_s1026" o:spt="32" type="#_x0000_t32" style="position:absolute;left:0pt;margin-left:0pt;margin-top:0pt;height:50pt;width:50pt;visibility:hidden;z-index:25165926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MAHsFgWAgAALAQAAA4AAABkcnMvZTJvRG9jLnhtbK1TzY7TMBC+I/EO&#10;lu80aVEXiJruoWW5rKBS4QFc20ks/CePt2lv3BDPwI0j7wBvsxK8BWMn22WXSw/kEI3jmW/m++bL&#10;4vJgNNnLAMrZmk4nJSXScieUbWv64f3Vs5eUQGRWMO2srOlRAr1cPn2y6H0lZ65zWshAEMRC1fua&#10;djH6qiiAd9IwmDgvLV42LhgW8RjaQgTWI7rRxawsL4reBeGD4xIAv66HSzoihnMAXdMoLteO3xhp&#10;44AapGYRKUGnPNBlnrZpJI/vmgZkJLqmyDTmNzbBeJfexXLBqjYw3yk+jsDOGeERJ8OUxaYnqDWL&#10;jNwE9Q+UUTw4cE2ccGeKgUhWBFlMy0fabDvmZeaCUoM/iQ7/D5a/3W8CUaKmLyixzODCf33+/vvT&#10;l9uvP29/fCPTcjanpFNCyOSWpFfvocKyld2ExJgf7NZfO/4RiHVbqVHyMbF4kJkO4IeaQxNMqkX+&#10;5JCXcTwtQx4i4fjx4vm8LHFNHK/GGJsXrLor9gHiG+kMSUFNIQam2i6unLU4gwvTvBC2v4Y4FN4V&#10;pM7akr6mr+aJHWdo4wbtg6HxKAXYNteC00pcKa1TBYR2t9KB7FmyUn6SGjjQg7TUZM2gG/Ly1WCy&#10;TjLx2goSjx5Ftvhv0TSCkYISncRNEQKyKjKlz8nE1tqmApmNPvK81zlFOyeOm5DmTCc0UZ54NHxy&#10;6d/nnHX/k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n9eSHQAAAABQEAAA8AAAAAAAAAAQAg&#10;AAAAIgAAAGRycy9kb3ducmV2LnhtbFBLAQIUABQAAAAIAIdO4kDAB7BYFgIAACwEAAAOAAAAAAAA&#10;AAEAIAAAAB8BAABkcnMvZTJvRG9jLnhtbFBLBQYAAAAABgAGAFkBAACnBQAAAAA=&#10;">
              <v:fill on="f" focussize="0,0"/>
              <v:stroke color="#000000" joinstyle="round"/>
              <v:imagedata o:title=""/>
              <o:lock v:ext="edit" selection="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5328285" cy="0"/>
              <wp:effectExtent l="0" t="4445" r="0" b="5080"/>
              <wp:wrapNone/>
              <wp:docPr id="8" name="4097"/>
              <wp:cNvGraphicFramePr/>
              <a:graphic xmlns:a="http://schemas.openxmlformats.org/drawingml/2006/main">
                <a:graphicData uri="http://schemas.microsoft.com/office/word/2010/wordprocessingShape">
                  <wps:wsp>
                    <wps:cNvCnPr/>
                    <wps:spPr>
                      <a:xfrm>
                        <a:off x="0" y="0"/>
                        <a:ext cx="532828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4097" o:spid="_x0000_s1026" o:spt="32" type="#_x0000_t32" style="position:absolute;left:0pt;margin-left:-0.75pt;margin-top:-0.65pt;height:0pt;width:419.55pt;z-index:251660288;mso-width-relative:page;mso-height-relative:page;" filled="f" stroked="t"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CyadmA4AEAAOcDAAAOAAAAZHJzL2Uyb0RvYy54bWytU01v&#10;2zAMvQ/YfxB0X5y4y5YacXpI1l2GLcC2H8BIsi1AXxDVOPn3o+Q07bpLDvNBpkTxke+RWj+crGFH&#10;FVF71/LFbM6ZcsJL7fqW//71+GHFGSZwEox3quVnhfxh8/7degyNqv3gjVSREYjDZgwtH1IKTVWh&#10;GJQFnPmgHDk7Hy0k2sa+khFGQremqufzT9XoowzRC4VIp7vJyS+I8RZA33VaqJ0XT1a5NKFGZSAR&#10;JRx0QL4p1XadEulH16FKzLScmKayUhKyD3mtNmto+ghh0OJSAtxSwhtOFrSjpFeoHSRgT1H/A2W1&#10;iB59l2bC22oiUhQhFov5G21+DhBU4UJSY7iKjv8PVnw/7iPTsuXUdgeWGv5xfv856zIGbMi9dft4&#10;2WHYx0zy1EWb/1Q+OxUtz1ct1SkxQYfLu3pVr5aciWdf9RIYIqavyluWjZZjiqD7IW29c9QxHxdF&#10;Szh+w0SpKfA5IGc1jo0tv1/WGRxoAjvqPJk2EAt0fYlFb7R81MbkCIz9YWsiO0KegvJlgoT717Wc&#10;ZAc4TPeKa5qPQYH84iRL50D6OHoWPJdgleTMKHpF2SJAaBJoc8tNSm1cDlBlRi88s+KTxtk6eHku&#10;0ld5R/0vFV9mNQ/Y6z3Zr9/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b/ZV1wAAAAgBAAAP&#10;AAAAAAAAAAEAIAAAACIAAABkcnMvZG93bnJldi54bWxQSwECFAAUAAAACACHTuJAsmnZgOABAADn&#10;AwAADgAAAAAAAAABACAAAAAmAQAAZHJzL2Uyb0RvYy54bWxQSwUGAAAAAAYABgBZAQAAeAUAAAAA&#10;">
              <v:fill on="f" focussize="0,0"/>
              <v:stroke color="#00000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 w:val="left" w:pos="8364"/>
      </w:tabs>
      <w:snapToGrid w:val="0"/>
      <w:spacing w:before="0" w:beforeAutospacing="0" w:after="0" w:afterAutospacing="0"/>
      <w:ind w:right="26"/>
      <w:rPr>
        <w:rFonts w:ascii="仿宋" w:hAnsi="仿宋" w:eastAsia="仿宋" w:cs="Times New Roma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vert="horz" wrap="none" lIns="0" tIns="0" rIns="0" bIns="0" anchor="t" anchorCtr="0">
                      <a:spAutoFit/>
                    </wps:bodyPr>
                  </wps:wsp>
                </a:graphicData>
              </a:graphic>
            </wp:anchor>
          </w:drawing>
        </mc:Choice>
        <mc:Fallback>
          <w:pict>
            <v:shape id="文本框 206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XUrbOMBAAC+AwAADgAAAGRycy9lMm9Eb2MueG1srVPNjtMwEL4j8Q6W&#10;7zTZrHZVororoFqEhABp4QFcx2ks+U/2tEl5AHgDTly481x9DsZO0kW7lz3sJRl7Zr6Z75vx6mYw&#10;mhxkiMpZRi8WJSXSCtcou2P029fbV0tKInDbcO2sZPQoI71Zv3yx6n0tK9c53chAEMTGuveMdgC+&#10;LoooOml4XDgvLTpbFwwHPIZd0QTeI7rRRVWW10XvQuODEzJGvN2MTjohhqcAurZVQm6c2BtpYUQN&#10;UnNASrFTPtJ17rZtpYDPbRslEM0oMoX8xSJob9O3WK94vQvcd0pMLfCntPCAk+HKYtEz1IYDJ/ug&#10;HkEZJYKLroWFcKYYiWRFkMVF+UCbu457mbmg1NGfRY/PBys+Hb4EohpGLymx3ODAT79+nn7/Pf35&#10;Qary+jIp1PtYY+Cdx1AY3roB92a+j3iZiA9tMOmPlAj6Ud/jWV85ABEpaVktlyW6BPrmA+IX9+k+&#10;RHgvnSHJYDTgALOu/PAxwhg6h6Rq1t0qrfMQtSU9o6+vqquccPYguLZYI5EYm00WDNthYrZ1zRGJ&#10;4ZPAgp0L3ynpcSEYtbj/lOgPFvVOuzMbYTa2s8GtwERGgZLRfAd5x1KL0b/ZA7aZu0+lx3pTRzjW&#10;zH9awbQ3/59z1P2zW/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Cl1K2zjAQAAvgMAAA4A&#10;AAAAAAAAAQAgAAAAHgEAAGRycy9lMm9Eb2MueG1sUEsFBgAAAAAGAAYAWQEAAHM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102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25" o:spid="_x0000_s1026" o:spt="32" type="#_x0000_t32" style="position:absolute;left:0pt;margin-left:0pt;margin-top:0pt;height:50pt;width:50pt;visibility:hidden;z-index:251661312;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KqnAWoVAgAALAQAAA4AAABkcnMvZTJvRG9jLnhtbK1TzY7TMBC+I/EO&#10;lu80aVFXEDXdQ8tyWUGlwgO4tpNY+E8eb9PeuCGegRtH3gHeZqXlLRg72S67XHogh2gcz3wz3zdf&#10;FpcHo8leBlDO1nQ6KSmRljuhbFvTjx+uXryiBCKzgmlnZU2PEujl8vmzRe8rOXOd00IGgiAWqt7X&#10;tIvRV0UBvJOGwcR5afGyccGwiMfQFiKwHtGNLmZleVH0LggfHJcA+HU9XNIRMZwD6JpGcbl2/MZI&#10;GwfUIDWLSAk65YEu87RNI3l83zQgI9E1RaYxv7EJxrv0LpYLVrWB+U7xcQR2zghPOBmmLDY9Qa1Z&#10;ZOQmqH+gjOLBgWvihDtTDESyIshiWj7RZtsxLzMXlBr8SXT4f7D83X4TiBLoBEosM7jwuy8/fn/+&#10;evvt1+3P72RazuaUdEoImdyS9Oo9VFi2spuQGPOD3fprxz8BsW4rNUo+JhaPMtMB/FBzaIJJtcif&#10;HPIyjqdlyEMkHD9evJyXJa6J49UYY/OCVffFPkB8K50hKagpxMBU28WVsxZncGGaF8L21xCHwvuC&#10;1Flb0tf09Tyx4wxt3KB9MDQepQDb5lpwWokrpXWqgNDuVjqQPUtWyk9SAwd6lJaarBl0Q16+GkzW&#10;SSbeWEHi0aPIFv8tmkYwUlCik7gpQkBWRab0OZnYWttUILPRR54POqdo58RxE9Kc6YQmyhOPhk8u&#10;/fucsx5+8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f15IdAAAAAFAQAADwAAAAAAAAABACAA&#10;AAAiAAAAZHJzL2Rvd25yZXYueG1sUEsBAhQAFAAAAAgAh07iQKqnAWoVAgAALAQAAA4AAAAAAAAA&#10;AQAgAAAAHwEAAGRycy9lMm9Eb2MueG1sUEsFBgAAAAAGAAYAWQEAAKYFAAAAAA==&#10;">
              <v:fill on="f" focussize="0,0"/>
              <v:stroke color="#000000" joinstyle="round"/>
              <v:imagedata o:title=""/>
              <o:lock v:ext="edit" selection="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-8255</wp:posOffset>
              </wp:positionV>
              <wp:extent cx="5328285" cy="0"/>
              <wp:effectExtent l="0" t="4445" r="0" b="5080"/>
              <wp:wrapNone/>
              <wp:docPr id="2" name="4097"/>
              <wp:cNvGraphicFramePr/>
              <a:graphic xmlns:a="http://schemas.openxmlformats.org/drawingml/2006/main">
                <a:graphicData uri="http://schemas.microsoft.com/office/word/2010/wordprocessingShape">
                  <wps:wsp>
                    <wps:cNvCnPr/>
                    <wps:spPr>
                      <a:xfrm>
                        <a:off x="0" y="0"/>
                        <a:ext cx="532828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4097" o:spid="_x0000_s1026" o:spt="32" type="#_x0000_t32" style="position:absolute;left:0pt;margin-left:-0.75pt;margin-top:-0.65pt;height:0pt;width:419.55pt;z-index:251662336;mso-width-relative:page;mso-height-relative:page;" filled="f" stroked="t"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CL3Q/g4AEAAOcDAAAOAAAAZHJzL2Uyb0RvYy54bWytU01v&#10;2zAMvQ/YfxB0X5y4y5YacXpI1l2GLcC2H8BIsi1AXxDVOPn3o+Q07bpLDvNBJkXxke+JWj+crGFH&#10;FVF71/LFbM6ZcsJL7fqW//71+GHFGSZwEox3quVnhfxh8/7degyNqv3gjVSREYjDZgwtH1IKTVWh&#10;GJQFnPmgHAU7Hy0kcmNfyQgjoVtT1fP5p2r0UYbohUKk3d0U5BfEeAug7zot1M6LJ6tcmlCjMpCI&#10;Eg46IN+UbrtOifSj61AlZlpOTFNZqQjZh7xWmzU0fYQwaHFpAW5p4Q0nC9pR0SvUDhKwp6j/gbJa&#10;RI++SzPhbTURKYoQi8X8jTY/BwiqcCGpMVxFx/8HK74f95Fp2fKaMweWLvzj/P5z1mUM2FB46/bx&#10;4mHYx0zy1EWb/9Q+OxUtz1ct1SkxQZvLu3pVr5aciedY9ZIYIqavyluWjZZjiqD7IW29c3RjPi6K&#10;lnD8holKU+JzQq5qHBtbfr+sMzjQBHZ082TaQCzQ9SUXvdHyURuTMzD2h62J7Ah5CsqXCRLuX8dy&#10;kR3gMJ0roWk+BgXyi5MsnQPp4+hZ8NyCVZIzo+gVZYsAoUmgzS0nqbRxOUGVGb3wzIpPGmfr4OW5&#10;SF9lj+6/dHyZ1Txgr32yX7/P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b/ZV1wAAAAgBAAAP&#10;AAAAAAAAAAEAIAAAACIAAABkcnMvZG93bnJldi54bWxQSwECFAAUAAAACACHTuJAi90P4OABAADn&#10;AwAADgAAAAAAAAABACAAAAAmAQAAZHJzL2Uyb0RvYy54bWxQSwUGAAAAAAYABgBZAQAAeAUAAAAA&#10;">
              <v:fill on="f" focussize="0,0"/>
              <v:stroke color="#000000"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vert="horz" wrap="none" lIns="0" tIns="0" rIns="0" bIns="0" anchor="t" anchorCtr="0">
                      <a:spAutoFit/>
                    </wps:bodyPr>
                  </wps:wsp>
                </a:graphicData>
              </a:graphic>
            </wp:anchor>
          </w:drawing>
        </mc:Choice>
        <mc:Fallback>
          <w:pict>
            <v:shape id="文本框 206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It9u+MBAAC+AwAADgAAAGRycy9lMm9Eb2MueG1srVPBjtMwEL0j8Q+W&#10;7zTZiF2VqO5qoVqEhABp4QNcx2ks2R7LdpuUD4A/4MSFO9/V79ixk3TRctnDXpKxZ+bNvDfj1fVg&#10;NDlIHxRYRi8WJSXSCmiU3TH67evtqyUlIXLbcA1WMnqUgV6vX75Y9a6WFXSgG+kJgthQ947RLkZX&#10;F0UQnTQ8LMBJi84WvOERj35XNJ73iG50UZXlVdGDb5wHIUPA283opBOifwogtK0ScgNib6SNI6qX&#10;mkekFDrlAl3nbttWivi5bYOMRDOKTGP+YhG0t+lbrFe83nnuOiWmFvhTWnjEyXBlsegZasMjJ3uv&#10;/oMySngI0MaFAFOMRLIiyOKifKTNXcedzFxQ6uDOoofngxWfDl88UQ2jrymx3ODAT79+nn7/Pf35&#10;QaryapkU6l2oMfDOYWgc3sKAezPfB7xMxIfWm/RHSgT9qO/xrK8cIhEpaVktlyW6BPrmA+IXD+nO&#10;h/hegiHJYNTjALOu/PAxxDF0DknVLNwqrfMQtSU9o28uq8uccPYguLZYI5EYm01WHLbDxGwLzRGJ&#10;4ZPAgh3475T0uBCMWtx/SvQHi3qn3ZkNPxvb2eBWYCKjkZLRfBfzjqUWg7vZR2wzd59Kj/WmjnCs&#10;mf+0gmlv/j3nqIdnt7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SLfbvjAQAAvgMAAA4A&#10;AAAAAAAAAQAgAAAAHgEAAGRycy9lMm9Eb2MueG1sUEsFBgAAAAAGAAYAWQEAAHM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vert="horz" wrap="none" lIns="0" tIns="0" rIns="0" bIns="0" anchor="t" anchorCtr="0">
                      <a:spAutoFit/>
                    </wps:bodyPr>
                  </wps:wsp>
                </a:graphicData>
              </a:graphic>
            </wp:anchor>
          </w:drawing>
        </mc:Choice>
        <mc:Fallback>
          <w:pict>
            <v:shape id="文本框 206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7V4OIBAAC+AwAADgAAAGRycy9lMm9Eb2MueG1srVPBjtMwEL0j8Q+W&#10;7zTZSF11o7oroFqEhABp4QNcx2ks2R7LdpuUD4A/4MSFO9/V79ixk3TRctkDl2TsmXkz7814fTsY&#10;TY7SBwWW0atFSYm0Ahpl94x+/XL3akVJiNw2XIOVjJ5koLebly/WvatlBR3oRnqCIDbUvWO0i9HV&#10;RRFEJw0PC3DSorMFb3jEo98Xjec9ohtdVGV5XfTgG+dByBDwdjs66YTonwMIbauE3II4GGnjiOql&#10;5hEphU65QDe527aVIn5q2yAj0Ywi05i/WATtXfoWmzWv9567TompBf6cFp5wMlxZLHqB2vLIycGr&#10;f6CMEh4CtHEhwBQjkawIsrgqn2hz33EnMxeUOriL6OH/wYqPx8+eqIbRJSWWGxz4+eeP868/59/f&#10;SVVe3ySFehdqDLx3GBqHNzDg3sz3AS8T8aH1Jv2REkE/6nu66CuHSERKWlWrVYkugb75gPjFY7rz&#10;Ib6TYEgyGPU4wKwrP34IcQydQ1I1C3dK6zxEbUnP6M2yWuaEiwfBtcUaicTYbLLisBsmZjtoTkgM&#10;nwQW7MB/o6THhWDU4v5Tot9b1Dvtzmz42djNBrcCExmNlIzm25h3LLUY3OtDxDZz96n0WG/qCMea&#10;+U8rmPbm73OOenx2m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7V4OIBAAC+AwAADgAA&#10;AAAAAAABACAAAAAeAQAAZHJzL2Uyb0RvYy54bWxQSwUGAAAAAAYABgBZAQAAcgU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vert="horz" wrap="none" lIns="0" tIns="0" rIns="0" bIns="0" anchor="t" anchorCtr="0">
                      <a:spAutoFit/>
                    </wps:bodyPr>
                  </wps:wsp>
                </a:graphicData>
              </a:graphic>
            </wp:anchor>
          </w:drawing>
        </mc:Choice>
        <mc:Fallback>
          <w:pict>
            <v:shape id="文本框 207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XMF+EBAAC/AwAADgAAAGRycy9lMm9Eb2MueG1srVPNjtMwEL4j8Q6W&#10;7zTZSAslaroCqkVICJAWHsB1nMaS/+SZNikPAG/AiQt3nqvPwdhpumi57IFLMvaMv/m+z+PVzWgN&#10;O6gI2ruGXy1KzpSTvtVu1/Avn2+fLTkDFK4VxjvV8KMCfrN++mQ1hFpVvvemVZERiIN6CA3vEUNd&#10;FCB7ZQUsfFCOkp2PViAt465ooxgI3ZqiKsvnxeBjG6KXCoB2N1OSnxHjYwB912mpNl7urXI4oUZl&#10;BJIk6HUAvs5su05J/Nh1oJCZhpNSzF9qQvE2fYv1StS7KEKv5ZmCeAyFB5qs0I6aXqA2AgXbR/0P&#10;lNUyevAdLqS3xSQkO0IqrsoH3tz1IqishayGcDEd/h+s/HD4FJluaRLIEics3fjpx/fTz9+nX99Y&#10;Vb6okkVDgJoq7wLV4vjaj1Q+7wNtJuVjF236kyZGeUI7XgxWIzKZDi2r5bKklKTcvCD84v54iIBv&#10;lbcsBQ2PdIPZWHF4DziVziWpm/O32ph8i8axoeEvr6vrfOCSIXDjqEcSMZFNEY7b8axs69sjCaM3&#10;QQ17H79yNtBENNzRA+DMvHNkOJHGOYhzsJ0D4SQdbDhyNoVvMA9Zogjh1R6JZmafWk/9zozoXrP+&#10;8wymwfl7navu393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BVcwX4QEAAL8DAAAOAAAA&#10;AAAAAAEAIAAAAB4BAABkcnMvZTJvRG9jLnhtbFBLBQYAAAAABgAGAFkBAABx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vert="horz" wrap="none" lIns="0" tIns="0" rIns="0" bIns="0" anchor="t" anchorCtr="0">
                      <a:spAutoFit/>
                    </wps:bodyPr>
                  </wps:wsp>
                </a:graphicData>
              </a:graphic>
            </wp:anchor>
          </w:drawing>
        </mc:Choice>
        <mc:Fallback>
          <w:pict>
            <v:shape id="文本框 207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jBkTOIBAAC/AwAADgAAAGRycy9lMm9Eb2MueG1srVPNjtMwEL4j8Q6W&#10;7zRp0EKJ6q6AahESAqSFB3Adp7HkP3ncJuUB4A04ceG+z9XnYOwkXbRc9sAlGXtmvpnvm/H6ejCa&#10;HGUA5Syjy0VJibTCNcruGf365ebZihKI3DZcOysZPUmg15unT9a9r2XlOqcbGQiCWKh7z2gXo6+L&#10;AkQnDYeF89Kis3XB8IjHsC+awHtEN7qoyvJF0bvQ+OCEBMDb7eikE2J4DKBrWyXk1omDkTaOqEFq&#10;HpESdMoD3eRu21aK+KltQUaiGUWmMX+xCNq79C02a17vA/edElML/DEtPOBkuLJY9AK15ZGTQ1D/&#10;QBklggPXxoVwphiJZEWQxbJ8oM1tx73MXFBq8BfR4f/Bio/Hz4GoBjdhSYnlBid+/vnj/Ovu/Ps7&#10;qcqXz5NEvYcaI289xsbhjRswfL4HvEzMhzaY9EdOBP0o8OkisBwiESlpVa1WJboE+uYD4hf36T5A&#10;fCedIclgNOAEs7D8+AHiGDqHpGrW3Sit8xS1JT2jr66qq5xw8SC4tlgjkRibTVYcdsPEbOeaExLD&#10;N4EFOxe+UdLjRjBq8QFQot9bFDwtz2yE2djNBrcCExmNlIzm25iXLLUI/vUhYpu5+1R6rDd1hHPN&#10;/KcdTIvz9zlH3b+7z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djBkTOIBAAC/AwAADgAA&#10;AAAAAAABACAAAAAeAQAAZHJzL2Uyb0RvYy54bWxQSwUGAAAAAAYABgBZAQAAcgU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s>
      <w:adjustRightInd w:val="0"/>
      <w:spacing w:before="0" w:beforeAutospacing="0" w:after="0" w:afterAutospacing="0" w:line="240" w:lineRule="atLeast"/>
      <w:rPr>
        <w:rFonts w:eastAsia="仿宋"/>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s>
      <w:adjustRightInd w:val="0"/>
      <w:spacing w:before="0" w:beforeAutospacing="0" w:after="0" w:afterAutospacing="0"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s>
      <w:adjustRightInd w:val="0"/>
      <w:spacing w:before="0" w:beforeAutospacing="0" w:after="0" w:afterAutospacing="0"/>
      <w:rPr>
        <w:rFonts w:eastAsia="仿宋"/>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tabs>
        <w:tab w:val="center" w:pos="4153"/>
        <w:tab w:val="right" w:pos="8306"/>
      </w:tabs>
      <w:adjustRightInd w:val="0"/>
      <w:spacing w:before="0" w:beforeAutospacing="0" w:after="0" w:afterAutospacing="0"/>
      <w:jc w:val="both"/>
      <w:rPr>
        <w:rFonts w:ascii="仿宋" w:hAnsi="仿宋" w:eastAsia="仿宋" w:cs="仿宋"/>
        <w:spacing w:val="-20"/>
        <w:sz w:val="21"/>
        <w:szCs w:val="21"/>
        <w:u w:val="single"/>
      </w:rPr>
    </w:pPr>
    <w:r>
      <w:rPr>
        <w:rFonts w:hint="eastAsia" w:ascii="仿宋" w:hAnsi="仿宋" w:eastAsia="仿宋" w:cs="仿宋"/>
        <w:spacing w:val="-20"/>
        <w:sz w:val="21"/>
        <w:szCs w:val="21"/>
        <w:u w:val="single"/>
      </w:rPr>
      <w:t>景宁畲族自治县环卫清洁服务有限公司图书馆、报告厅、寝室设备（非政府）采购项目招标文件                           第</w:t>
    </w:r>
    <w:r>
      <w:rPr>
        <w:rFonts w:hint="eastAsia" w:ascii="仿宋" w:hAnsi="仿宋" w:eastAsia="仿宋" w:cs="仿宋"/>
        <w:spacing w:val="-20"/>
        <w:sz w:val="21"/>
        <w:szCs w:val="21"/>
        <w:u w:val="single"/>
      </w:rPr>
      <w:fldChar w:fldCharType="begin"/>
    </w:r>
    <w:r>
      <w:rPr>
        <w:rFonts w:hint="eastAsia" w:ascii="仿宋" w:hAnsi="仿宋" w:eastAsia="仿宋" w:cs="仿宋"/>
        <w:spacing w:val="-20"/>
        <w:sz w:val="21"/>
        <w:szCs w:val="21"/>
        <w:u w:val="single"/>
      </w:rPr>
      <w:instrText xml:space="preserve"> PAGE </w:instrText>
    </w:r>
    <w:r>
      <w:rPr>
        <w:rFonts w:hint="eastAsia" w:ascii="仿宋" w:hAnsi="仿宋" w:eastAsia="仿宋" w:cs="仿宋"/>
        <w:spacing w:val="-20"/>
        <w:sz w:val="21"/>
        <w:szCs w:val="21"/>
        <w:u w:val="single"/>
      </w:rPr>
      <w:fldChar w:fldCharType="separate"/>
    </w:r>
    <w:r>
      <w:rPr>
        <w:rFonts w:ascii="仿宋" w:hAnsi="仿宋" w:eastAsia="仿宋" w:cs="仿宋"/>
        <w:spacing w:val="-20"/>
        <w:sz w:val="21"/>
        <w:szCs w:val="21"/>
        <w:u w:val="single"/>
      </w:rPr>
      <w:t>3</w:t>
    </w:r>
    <w:r>
      <w:rPr>
        <w:rFonts w:hint="eastAsia" w:ascii="仿宋" w:hAnsi="仿宋" w:eastAsia="仿宋" w:cs="仿宋"/>
        <w:spacing w:val="-20"/>
        <w:sz w:val="21"/>
        <w:szCs w:val="21"/>
        <w:u w:val="single"/>
      </w:rPr>
      <w:fldChar w:fldCharType="end"/>
    </w:r>
    <w:r>
      <w:rPr>
        <w:rFonts w:hint="eastAsia" w:ascii="仿宋" w:hAnsi="仿宋" w:eastAsia="仿宋" w:cs="仿宋"/>
        <w:spacing w:val="-20"/>
        <w:sz w:val="21"/>
        <w:szCs w:val="21"/>
        <w:u w:val="single"/>
      </w:rPr>
      <w:t xml:space="preserve">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5A4BC"/>
    <w:multiLevelType w:val="singleLevel"/>
    <w:tmpl w:val="CC05A4BC"/>
    <w:lvl w:ilvl="0" w:tentative="0">
      <w:start w:val="2"/>
      <w:numFmt w:val="chineseCounting"/>
      <w:suff w:val="space"/>
      <w:lvlText w:val="第%1章"/>
      <w:lvlJc w:val="left"/>
      <w:pPr>
        <w:ind w:left="5595" w:firstLine="0"/>
      </w:pPr>
      <w:rPr>
        <w:rFonts w:hint="eastAsia"/>
      </w:rPr>
    </w:lvl>
  </w:abstractNum>
  <w:abstractNum w:abstractNumId="1">
    <w:nsid w:val="DC9BC9FD"/>
    <w:multiLevelType w:val="singleLevel"/>
    <w:tmpl w:val="DC9BC9F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NotTrackMoves/>
  <w:trackRevisions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WMxYmE3N2Y4YWIzOWYxODM3Y2UxYmJjYTc2YjMifQ=="/>
  </w:docVars>
  <w:rsids>
    <w:rsidRoot w:val="00580104"/>
    <w:rsid w:val="0000191B"/>
    <w:rsid w:val="00001E6D"/>
    <w:rsid w:val="00002F88"/>
    <w:rsid w:val="00010533"/>
    <w:rsid w:val="00011B8C"/>
    <w:rsid w:val="00013B84"/>
    <w:rsid w:val="000160ED"/>
    <w:rsid w:val="00016A7C"/>
    <w:rsid w:val="000170F2"/>
    <w:rsid w:val="00017C3B"/>
    <w:rsid w:val="00026E8C"/>
    <w:rsid w:val="00031C42"/>
    <w:rsid w:val="000327B4"/>
    <w:rsid w:val="000343AA"/>
    <w:rsid w:val="00036B64"/>
    <w:rsid w:val="00036B8D"/>
    <w:rsid w:val="000402EF"/>
    <w:rsid w:val="00040555"/>
    <w:rsid w:val="00041773"/>
    <w:rsid w:val="00041ABC"/>
    <w:rsid w:val="000420B6"/>
    <w:rsid w:val="00042D00"/>
    <w:rsid w:val="0004326C"/>
    <w:rsid w:val="000447FA"/>
    <w:rsid w:val="0004606A"/>
    <w:rsid w:val="00050501"/>
    <w:rsid w:val="000522A1"/>
    <w:rsid w:val="00053492"/>
    <w:rsid w:val="00053B32"/>
    <w:rsid w:val="00053D6E"/>
    <w:rsid w:val="00057196"/>
    <w:rsid w:val="00057EE0"/>
    <w:rsid w:val="0006178E"/>
    <w:rsid w:val="00063BC9"/>
    <w:rsid w:val="00063F24"/>
    <w:rsid w:val="00065154"/>
    <w:rsid w:val="00066B80"/>
    <w:rsid w:val="0006789D"/>
    <w:rsid w:val="00067C64"/>
    <w:rsid w:val="00067CD6"/>
    <w:rsid w:val="00070AE3"/>
    <w:rsid w:val="0007318F"/>
    <w:rsid w:val="00074386"/>
    <w:rsid w:val="00074B09"/>
    <w:rsid w:val="00074EA3"/>
    <w:rsid w:val="0007543A"/>
    <w:rsid w:val="00075568"/>
    <w:rsid w:val="00077649"/>
    <w:rsid w:val="00077FFC"/>
    <w:rsid w:val="00080205"/>
    <w:rsid w:val="00081B5F"/>
    <w:rsid w:val="00083790"/>
    <w:rsid w:val="00083A20"/>
    <w:rsid w:val="00083EC3"/>
    <w:rsid w:val="00084285"/>
    <w:rsid w:val="00084B58"/>
    <w:rsid w:val="0008563A"/>
    <w:rsid w:val="00086572"/>
    <w:rsid w:val="00087A97"/>
    <w:rsid w:val="00091C2F"/>
    <w:rsid w:val="000956D3"/>
    <w:rsid w:val="00096F47"/>
    <w:rsid w:val="00097982"/>
    <w:rsid w:val="000A0642"/>
    <w:rsid w:val="000B1984"/>
    <w:rsid w:val="000B24CC"/>
    <w:rsid w:val="000B33F6"/>
    <w:rsid w:val="000B5F31"/>
    <w:rsid w:val="000C0267"/>
    <w:rsid w:val="000C252B"/>
    <w:rsid w:val="000C2836"/>
    <w:rsid w:val="000C3883"/>
    <w:rsid w:val="000C3916"/>
    <w:rsid w:val="000C4D55"/>
    <w:rsid w:val="000C53C1"/>
    <w:rsid w:val="000C5C38"/>
    <w:rsid w:val="000C6292"/>
    <w:rsid w:val="000C6D4C"/>
    <w:rsid w:val="000C7760"/>
    <w:rsid w:val="000D0F69"/>
    <w:rsid w:val="000D1E85"/>
    <w:rsid w:val="000D65A7"/>
    <w:rsid w:val="000D7318"/>
    <w:rsid w:val="000E0CBB"/>
    <w:rsid w:val="000E16D9"/>
    <w:rsid w:val="000E2CDE"/>
    <w:rsid w:val="000E386F"/>
    <w:rsid w:val="000E3FAE"/>
    <w:rsid w:val="000E43AC"/>
    <w:rsid w:val="000E5C79"/>
    <w:rsid w:val="000E6AAF"/>
    <w:rsid w:val="000E7701"/>
    <w:rsid w:val="000E7BFC"/>
    <w:rsid w:val="000E7D8F"/>
    <w:rsid w:val="000F0C56"/>
    <w:rsid w:val="000F2B68"/>
    <w:rsid w:val="000F2C09"/>
    <w:rsid w:val="000F3314"/>
    <w:rsid w:val="000F3E5D"/>
    <w:rsid w:val="000F4F48"/>
    <w:rsid w:val="000F603F"/>
    <w:rsid w:val="000F7310"/>
    <w:rsid w:val="000F7A2D"/>
    <w:rsid w:val="00101FC5"/>
    <w:rsid w:val="00103761"/>
    <w:rsid w:val="001041CA"/>
    <w:rsid w:val="00104C93"/>
    <w:rsid w:val="00106137"/>
    <w:rsid w:val="0010618D"/>
    <w:rsid w:val="00107636"/>
    <w:rsid w:val="0011144D"/>
    <w:rsid w:val="001126F1"/>
    <w:rsid w:val="00115A2D"/>
    <w:rsid w:val="00117CBF"/>
    <w:rsid w:val="00120380"/>
    <w:rsid w:val="00122712"/>
    <w:rsid w:val="001251E3"/>
    <w:rsid w:val="00130240"/>
    <w:rsid w:val="001306AD"/>
    <w:rsid w:val="0013191A"/>
    <w:rsid w:val="00133916"/>
    <w:rsid w:val="00133C46"/>
    <w:rsid w:val="00135302"/>
    <w:rsid w:val="0013573F"/>
    <w:rsid w:val="00135E59"/>
    <w:rsid w:val="001378CF"/>
    <w:rsid w:val="00141079"/>
    <w:rsid w:val="00141983"/>
    <w:rsid w:val="0014350B"/>
    <w:rsid w:val="001436B3"/>
    <w:rsid w:val="00143819"/>
    <w:rsid w:val="00144A9F"/>
    <w:rsid w:val="00144BB3"/>
    <w:rsid w:val="00145310"/>
    <w:rsid w:val="00147879"/>
    <w:rsid w:val="001514B8"/>
    <w:rsid w:val="00151F25"/>
    <w:rsid w:val="00153CD4"/>
    <w:rsid w:val="00155768"/>
    <w:rsid w:val="00155DCB"/>
    <w:rsid w:val="00156A2B"/>
    <w:rsid w:val="00156B62"/>
    <w:rsid w:val="00157412"/>
    <w:rsid w:val="00157611"/>
    <w:rsid w:val="00162145"/>
    <w:rsid w:val="0016259D"/>
    <w:rsid w:val="00164312"/>
    <w:rsid w:val="00165428"/>
    <w:rsid w:val="00165827"/>
    <w:rsid w:val="00170145"/>
    <w:rsid w:val="001716F4"/>
    <w:rsid w:val="001728F9"/>
    <w:rsid w:val="00173842"/>
    <w:rsid w:val="00173A7F"/>
    <w:rsid w:val="001755B7"/>
    <w:rsid w:val="0018016D"/>
    <w:rsid w:val="001807DD"/>
    <w:rsid w:val="00180857"/>
    <w:rsid w:val="0018086B"/>
    <w:rsid w:val="001855D5"/>
    <w:rsid w:val="00185A3F"/>
    <w:rsid w:val="001860EA"/>
    <w:rsid w:val="00186992"/>
    <w:rsid w:val="00187DBF"/>
    <w:rsid w:val="001900B8"/>
    <w:rsid w:val="0019061D"/>
    <w:rsid w:val="00190CFA"/>
    <w:rsid w:val="001913F8"/>
    <w:rsid w:val="001926AB"/>
    <w:rsid w:val="00193115"/>
    <w:rsid w:val="00194587"/>
    <w:rsid w:val="001948CE"/>
    <w:rsid w:val="00195631"/>
    <w:rsid w:val="00197D19"/>
    <w:rsid w:val="001A0112"/>
    <w:rsid w:val="001A23E9"/>
    <w:rsid w:val="001A5471"/>
    <w:rsid w:val="001A75DF"/>
    <w:rsid w:val="001A788D"/>
    <w:rsid w:val="001B0CCB"/>
    <w:rsid w:val="001B2130"/>
    <w:rsid w:val="001B233F"/>
    <w:rsid w:val="001B24B9"/>
    <w:rsid w:val="001B358C"/>
    <w:rsid w:val="001B3CA6"/>
    <w:rsid w:val="001B41CA"/>
    <w:rsid w:val="001B66FB"/>
    <w:rsid w:val="001B700E"/>
    <w:rsid w:val="001B761A"/>
    <w:rsid w:val="001C0763"/>
    <w:rsid w:val="001C3005"/>
    <w:rsid w:val="001C30D9"/>
    <w:rsid w:val="001C4BF9"/>
    <w:rsid w:val="001C5A0B"/>
    <w:rsid w:val="001C751A"/>
    <w:rsid w:val="001C7601"/>
    <w:rsid w:val="001C7C29"/>
    <w:rsid w:val="001D0217"/>
    <w:rsid w:val="001D184A"/>
    <w:rsid w:val="001D1886"/>
    <w:rsid w:val="001D1D3B"/>
    <w:rsid w:val="001D5B7D"/>
    <w:rsid w:val="001E07BC"/>
    <w:rsid w:val="001E25BC"/>
    <w:rsid w:val="001E352C"/>
    <w:rsid w:val="001E421D"/>
    <w:rsid w:val="001F0619"/>
    <w:rsid w:val="001F12F6"/>
    <w:rsid w:val="001F267F"/>
    <w:rsid w:val="001F39C4"/>
    <w:rsid w:val="001F3EF7"/>
    <w:rsid w:val="001F3FA2"/>
    <w:rsid w:val="001F487A"/>
    <w:rsid w:val="001F52BA"/>
    <w:rsid w:val="001F56C3"/>
    <w:rsid w:val="001F62CE"/>
    <w:rsid w:val="001F62E2"/>
    <w:rsid w:val="001F65F8"/>
    <w:rsid w:val="002009E7"/>
    <w:rsid w:val="00202361"/>
    <w:rsid w:val="002026AA"/>
    <w:rsid w:val="002032B1"/>
    <w:rsid w:val="002049B6"/>
    <w:rsid w:val="00205AC1"/>
    <w:rsid w:val="00206D20"/>
    <w:rsid w:val="00210E9D"/>
    <w:rsid w:val="00212177"/>
    <w:rsid w:val="00213A59"/>
    <w:rsid w:val="002146AA"/>
    <w:rsid w:val="002147BA"/>
    <w:rsid w:val="0021597C"/>
    <w:rsid w:val="00215EDE"/>
    <w:rsid w:val="0021641D"/>
    <w:rsid w:val="002166F9"/>
    <w:rsid w:val="002219AA"/>
    <w:rsid w:val="00221D2C"/>
    <w:rsid w:val="00222249"/>
    <w:rsid w:val="00234B61"/>
    <w:rsid w:val="002366AF"/>
    <w:rsid w:val="00241FFC"/>
    <w:rsid w:val="00243157"/>
    <w:rsid w:val="00244065"/>
    <w:rsid w:val="0024428B"/>
    <w:rsid w:val="002447E9"/>
    <w:rsid w:val="00244919"/>
    <w:rsid w:val="002463D1"/>
    <w:rsid w:val="0024743D"/>
    <w:rsid w:val="002502D4"/>
    <w:rsid w:val="00251045"/>
    <w:rsid w:val="00251A03"/>
    <w:rsid w:val="00253BF0"/>
    <w:rsid w:val="0025473A"/>
    <w:rsid w:val="00255710"/>
    <w:rsid w:val="0025658F"/>
    <w:rsid w:val="00257849"/>
    <w:rsid w:val="00262D9F"/>
    <w:rsid w:val="00264DE6"/>
    <w:rsid w:val="0026587B"/>
    <w:rsid w:val="0027019D"/>
    <w:rsid w:val="0027047F"/>
    <w:rsid w:val="00271853"/>
    <w:rsid w:val="00272CF4"/>
    <w:rsid w:val="002733B8"/>
    <w:rsid w:val="002741F0"/>
    <w:rsid w:val="00276741"/>
    <w:rsid w:val="00276E56"/>
    <w:rsid w:val="00280F83"/>
    <w:rsid w:val="00284189"/>
    <w:rsid w:val="00285779"/>
    <w:rsid w:val="002867F6"/>
    <w:rsid w:val="00292AFA"/>
    <w:rsid w:val="00292BAE"/>
    <w:rsid w:val="00292C0B"/>
    <w:rsid w:val="00293AD6"/>
    <w:rsid w:val="00294249"/>
    <w:rsid w:val="00295352"/>
    <w:rsid w:val="00295729"/>
    <w:rsid w:val="002A12D3"/>
    <w:rsid w:val="002A2523"/>
    <w:rsid w:val="002A3901"/>
    <w:rsid w:val="002A4CB0"/>
    <w:rsid w:val="002A5451"/>
    <w:rsid w:val="002A5C63"/>
    <w:rsid w:val="002A76CF"/>
    <w:rsid w:val="002B19C9"/>
    <w:rsid w:val="002B253B"/>
    <w:rsid w:val="002B2FDD"/>
    <w:rsid w:val="002B3718"/>
    <w:rsid w:val="002B39D1"/>
    <w:rsid w:val="002B603F"/>
    <w:rsid w:val="002B6637"/>
    <w:rsid w:val="002B73E3"/>
    <w:rsid w:val="002C0DA9"/>
    <w:rsid w:val="002C15AA"/>
    <w:rsid w:val="002C2DC0"/>
    <w:rsid w:val="002C3004"/>
    <w:rsid w:val="002C5C5B"/>
    <w:rsid w:val="002D0338"/>
    <w:rsid w:val="002D0D68"/>
    <w:rsid w:val="002D1397"/>
    <w:rsid w:val="002D15DB"/>
    <w:rsid w:val="002D22EE"/>
    <w:rsid w:val="002D29FA"/>
    <w:rsid w:val="002D3EA5"/>
    <w:rsid w:val="002D4AE8"/>
    <w:rsid w:val="002D531B"/>
    <w:rsid w:val="002D5D45"/>
    <w:rsid w:val="002D6473"/>
    <w:rsid w:val="002D687E"/>
    <w:rsid w:val="002E0B58"/>
    <w:rsid w:val="002E265A"/>
    <w:rsid w:val="002E30C1"/>
    <w:rsid w:val="002E5095"/>
    <w:rsid w:val="002E5AA3"/>
    <w:rsid w:val="002E6F7E"/>
    <w:rsid w:val="002F007E"/>
    <w:rsid w:val="002F19A0"/>
    <w:rsid w:val="002F2343"/>
    <w:rsid w:val="002F274E"/>
    <w:rsid w:val="002F4BAF"/>
    <w:rsid w:val="002F5779"/>
    <w:rsid w:val="002F6BE8"/>
    <w:rsid w:val="002F7F0A"/>
    <w:rsid w:val="00301B76"/>
    <w:rsid w:val="003031A2"/>
    <w:rsid w:val="003057A7"/>
    <w:rsid w:val="00307AE4"/>
    <w:rsid w:val="00311B1C"/>
    <w:rsid w:val="00311E33"/>
    <w:rsid w:val="00312100"/>
    <w:rsid w:val="00313532"/>
    <w:rsid w:val="00314430"/>
    <w:rsid w:val="0031461C"/>
    <w:rsid w:val="00315085"/>
    <w:rsid w:val="00317E01"/>
    <w:rsid w:val="003216A3"/>
    <w:rsid w:val="00321EE2"/>
    <w:rsid w:val="00322331"/>
    <w:rsid w:val="00322F2A"/>
    <w:rsid w:val="0032572A"/>
    <w:rsid w:val="00326A2F"/>
    <w:rsid w:val="0033001D"/>
    <w:rsid w:val="00331FEA"/>
    <w:rsid w:val="003353AC"/>
    <w:rsid w:val="00335DCB"/>
    <w:rsid w:val="003364CD"/>
    <w:rsid w:val="00336B38"/>
    <w:rsid w:val="0033743B"/>
    <w:rsid w:val="0034218A"/>
    <w:rsid w:val="003423E1"/>
    <w:rsid w:val="003459BB"/>
    <w:rsid w:val="0034729E"/>
    <w:rsid w:val="00347ECB"/>
    <w:rsid w:val="00350E80"/>
    <w:rsid w:val="00351350"/>
    <w:rsid w:val="0035168C"/>
    <w:rsid w:val="00351C8B"/>
    <w:rsid w:val="00351DBD"/>
    <w:rsid w:val="00353BF6"/>
    <w:rsid w:val="00353DA5"/>
    <w:rsid w:val="00355525"/>
    <w:rsid w:val="00355C4B"/>
    <w:rsid w:val="00355ED7"/>
    <w:rsid w:val="00360463"/>
    <w:rsid w:val="00361076"/>
    <w:rsid w:val="00362569"/>
    <w:rsid w:val="0036338D"/>
    <w:rsid w:val="00366455"/>
    <w:rsid w:val="003666C4"/>
    <w:rsid w:val="003678E0"/>
    <w:rsid w:val="00367DFC"/>
    <w:rsid w:val="00370BDC"/>
    <w:rsid w:val="00370D52"/>
    <w:rsid w:val="0037127E"/>
    <w:rsid w:val="00372596"/>
    <w:rsid w:val="00372CFA"/>
    <w:rsid w:val="0037467A"/>
    <w:rsid w:val="003749C3"/>
    <w:rsid w:val="00374DE2"/>
    <w:rsid w:val="003775C7"/>
    <w:rsid w:val="0038105B"/>
    <w:rsid w:val="00381700"/>
    <w:rsid w:val="00381EA9"/>
    <w:rsid w:val="003835A4"/>
    <w:rsid w:val="0038515B"/>
    <w:rsid w:val="003908BF"/>
    <w:rsid w:val="00390EA0"/>
    <w:rsid w:val="00392B6F"/>
    <w:rsid w:val="003940F9"/>
    <w:rsid w:val="0039514A"/>
    <w:rsid w:val="003964AE"/>
    <w:rsid w:val="00397025"/>
    <w:rsid w:val="003976F7"/>
    <w:rsid w:val="003977DD"/>
    <w:rsid w:val="00397D48"/>
    <w:rsid w:val="003A15B1"/>
    <w:rsid w:val="003A21EF"/>
    <w:rsid w:val="003A34B0"/>
    <w:rsid w:val="003A4464"/>
    <w:rsid w:val="003A5C19"/>
    <w:rsid w:val="003A5E72"/>
    <w:rsid w:val="003A69C3"/>
    <w:rsid w:val="003A7361"/>
    <w:rsid w:val="003A78E5"/>
    <w:rsid w:val="003B048E"/>
    <w:rsid w:val="003B235E"/>
    <w:rsid w:val="003B4967"/>
    <w:rsid w:val="003C09FD"/>
    <w:rsid w:val="003C0B84"/>
    <w:rsid w:val="003C1DD8"/>
    <w:rsid w:val="003C3162"/>
    <w:rsid w:val="003C5B0F"/>
    <w:rsid w:val="003C6FA2"/>
    <w:rsid w:val="003D082E"/>
    <w:rsid w:val="003D0A0A"/>
    <w:rsid w:val="003D0F50"/>
    <w:rsid w:val="003D1726"/>
    <w:rsid w:val="003D2D97"/>
    <w:rsid w:val="003D3AB5"/>
    <w:rsid w:val="003D547A"/>
    <w:rsid w:val="003D6698"/>
    <w:rsid w:val="003D7223"/>
    <w:rsid w:val="003D7B62"/>
    <w:rsid w:val="003D7BA6"/>
    <w:rsid w:val="003E1093"/>
    <w:rsid w:val="003E328E"/>
    <w:rsid w:val="003E4FEA"/>
    <w:rsid w:val="003E594F"/>
    <w:rsid w:val="003E5D17"/>
    <w:rsid w:val="003E7157"/>
    <w:rsid w:val="003E7217"/>
    <w:rsid w:val="003F0D80"/>
    <w:rsid w:val="003F188C"/>
    <w:rsid w:val="003F2808"/>
    <w:rsid w:val="003F6BFB"/>
    <w:rsid w:val="003F726E"/>
    <w:rsid w:val="00401066"/>
    <w:rsid w:val="00405649"/>
    <w:rsid w:val="00406A17"/>
    <w:rsid w:val="00406C8A"/>
    <w:rsid w:val="004107B2"/>
    <w:rsid w:val="0041133D"/>
    <w:rsid w:val="00412CFA"/>
    <w:rsid w:val="00412DAB"/>
    <w:rsid w:val="00413EB2"/>
    <w:rsid w:val="00424DEB"/>
    <w:rsid w:val="00425A59"/>
    <w:rsid w:val="00430C94"/>
    <w:rsid w:val="004312E2"/>
    <w:rsid w:val="0043366E"/>
    <w:rsid w:val="00434A44"/>
    <w:rsid w:val="0043603B"/>
    <w:rsid w:val="00436DB0"/>
    <w:rsid w:val="00440A1E"/>
    <w:rsid w:val="0044282A"/>
    <w:rsid w:val="0044439C"/>
    <w:rsid w:val="004447FB"/>
    <w:rsid w:val="00445511"/>
    <w:rsid w:val="0044757E"/>
    <w:rsid w:val="00447888"/>
    <w:rsid w:val="00450DF0"/>
    <w:rsid w:val="00451A0D"/>
    <w:rsid w:val="00454F00"/>
    <w:rsid w:val="00454F2B"/>
    <w:rsid w:val="00455432"/>
    <w:rsid w:val="00455BF8"/>
    <w:rsid w:val="00455E40"/>
    <w:rsid w:val="00456DB6"/>
    <w:rsid w:val="00462CDA"/>
    <w:rsid w:val="0046652D"/>
    <w:rsid w:val="004669EF"/>
    <w:rsid w:val="0046776E"/>
    <w:rsid w:val="00467F5B"/>
    <w:rsid w:val="00472E3F"/>
    <w:rsid w:val="0047334F"/>
    <w:rsid w:val="004736E2"/>
    <w:rsid w:val="00475548"/>
    <w:rsid w:val="0047633F"/>
    <w:rsid w:val="00481AA0"/>
    <w:rsid w:val="00482CD2"/>
    <w:rsid w:val="00483344"/>
    <w:rsid w:val="0048377F"/>
    <w:rsid w:val="004837CC"/>
    <w:rsid w:val="00483F40"/>
    <w:rsid w:val="004851B6"/>
    <w:rsid w:val="00490AA9"/>
    <w:rsid w:val="004912A0"/>
    <w:rsid w:val="00492542"/>
    <w:rsid w:val="004927DB"/>
    <w:rsid w:val="0049295D"/>
    <w:rsid w:val="00496E51"/>
    <w:rsid w:val="00496F7B"/>
    <w:rsid w:val="00497F49"/>
    <w:rsid w:val="004A3B06"/>
    <w:rsid w:val="004A43D6"/>
    <w:rsid w:val="004A6175"/>
    <w:rsid w:val="004A6963"/>
    <w:rsid w:val="004A6E01"/>
    <w:rsid w:val="004B0255"/>
    <w:rsid w:val="004B03B4"/>
    <w:rsid w:val="004B112C"/>
    <w:rsid w:val="004B2846"/>
    <w:rsid w:val="004B2CE9"/>
    <w:rsid w:val="004B73BC"/>
    <w:rsid w:val="004B756F"/>
    <w:rsid w:val="004C03B4"/>
    <w:rsid w:val="004C0947"/>
    <w:rsid w:val="004C3AC9"/>
    <w:rsid w:val="004C41CD"/>
    <w:rsid w:val="004C41DB"/>
    <w:rsid w:val="004C6F52"/>
    <w:rsid w:val="004D1F97"/>
    <w:rsid w:val="004D24F0"/>
    <w:rsid w:val="004D272A"/>
    <w:rsid w:val="004D40E4"/>
    <w:rsid w:val="004D56F7"/>
    <w:rsid w:val="004D5764"/>
    <w:rsid w:val="004D6031"/>
    <w:rsid w:val="004D69F7"/>
    <w:rsid w:val="004D6CA1"/>
    <w:rsid w:val="004D6E15"/>
    <w:rsid w:val="004D7307"/>
    <w:rsid w:val="004E18A7"/>
    <w:rsid w:val="004E3065"/>
    <w:rsid w:val="004E4893"/>
    <w:rsid w:val="004E59AE"/>
    <w:rsid w:val="004E6B31"/>
    <w:rsid w:val="004E7131"/>
    <w:rsid w:val="004F1352"/>
    <w:rsid w:val="004F50EE"/>
    <w:rsid w:val="005007B5"/>
    <w:rsid w:val="00500C6B"/>
    <w:rsid w:val="00502187"/>
    <w:rsid w:val="005030B1"/>
    <w:rsid w:val="00503365"/>
    <w:rsid w:val="00503B8A"/>
    <w:rsid w:val="00503D3D"/>
    <w:rsid w:val="00504BC7"/>
    <w:rsid w:val="00504BE2"/>
    <w:rsid w:val="00505CA2"/>
    <w:rsid w:val="005074EC"/>
    <w:rsid w:val="005079D7"/>
    <w:rsid w:val="00510223"/>
    <w:rsid w:val="00511563"/>
    <w:rsid w:val="00511CFD"/>
    <w:rsid w:val="00511DDA"/>
    <w:rsid w:val="0051593A"/>
    <w:rsid w:val="005167B4"/>
    <w:rsid w:val="00516809"/>
    <w:rsid w:val="00517798"/>
    <w:rsid w:val="005203B8"/>
    <w:rsid w:val="00521C44"/>
    <w:rsid w:val="00522C0C"/>
    <w:rsid w:val="005239FB"/>
    <w:rsid w:val="005242CA"/>
    <w:rsid w:val="005244E2"/>
    <w:rsid w:val="0052726E"/>
    <w:rsid w:val="00531AB7"/>
    <w:rsid w:val="005334E5"/>
    <w:rsid w:val="005345E7"/>
    <w:rsid w:val="00537A64"/>
    <w:rsid w:val="00540BEA"/>
    <w:rsid w:val="005458A9"/>
    <w:rsid w:val="00545FB0"/>
    <w:rsid w:val="00546133"/>
    <w:rsid w:val="0054664D"/>
    <w:rsid w:val="00547B7F"/>
    <w:rsid w:val="00550939"/>
    <w:rsid w:val="00550B13"/>
    <w:rsid w:val="00551CC0"/>
    <w:rsid w:val="00552DB2"/>
    <w:rsid w:val="005537F2"/>
    <w:rsid w:val="0055395C"/>
    <w:rsid w:val="00554B17"/>
    <w:rsid w:val="00554EC8"/>
    <w:rsid w:val="00555A54"/>
    <w:rsid w:val="00557465"/>
    <w:rsid w:val="00562012"/>
    <w:rsid w:val="00566FB0"/>
    <w:rsid w:val="005747F5"/>
    <w:rsid w:val="00576076"/>
    <w:rsid w:val="00580019"/>
    <w:rsid w:val="00580104"/>
    <w:rsid w:val="00580A4E"/>
    <w:rsid w:val="00582473"/>
    <w:rsid w:val="00582A24"/>
    <w:rsid w:val="005847B7"/>
    <w:rsid w:val="00585DFB"/>
    <w:rsid w:val="00586613"/>
    <w:rsid w:val="0058758F"/>
    <w:rsid w:val="00587EFD"/>
    <w:rsid w:val="005919D5"/>
    <w:rsid w:val="005932AD"/>
    <w:rsid w:val="0059342E"/>
    <w:rsid w:val="00596192"/>
    <w:rsid w:val="00596F49"/>
    <w:rsid w:val="0059713F"/>
    <w:rsid w:val="005A1B90"/>
    <w:rsid w:val="005A2B2A"/>
    <w:rsid w:val="005A38F4"/>
    <w:rsid w:val="005A405A"/>
    <w:rsid w:val="005A5775"/>
    <w:rsid w:val="005B241C"/>
    <w:rsid w:val="005B48C2"/>
    <w:rsid w:val="005B6568"/>
    <w:rsid w:val="005B722B"/>
    <w:rsid w:val="005B790E"/>
    <w:rsid w:val="005B7938"/>
    <w:rsid w:val="005C074E"/>
    <w:rsid w:val="005C1CFE"/>
    <w:rsid w:val="005C2BD5"/>
    <w:rsid w:val="005C2BDC"/>
    <w:rsid w:val="005C5A81"/>
    <w:rsid w:val="005C5DC0"/>
    <w:rsid w:val="005C66ED"/>
    <w:rsid w:val="005C68A0"/>
    <w:rsid w:val="005D088F"/>
    <w:rsid w:val="005D2997"/>
    <w:rsid w:val="005E0272"/>
    <w:rsid w:val="005E0BED"/>
    <w:rsid w:val="005E1DBD"/>
    <w:rsid w:val="005E2CEF"/>
    <w:rsid w:val="005E405A"/>
    <w:rsid w:val="005E5DE2"/>
    <w:rsid w:val="005E69DE"/>
    <w:rsid w:val="005E7F8E"/>
    <w:rsid w:val="005F0F17"/>
    <w:rsid w:val="005F2EE1"/>
    <w:rsid w:val="005F3117"/>
    <w:rsid w:val="005F39B4"/>
    <w:rsid w:val="005F410F"/>
    <w:rsid w:val="0060380B"/>
    <w:rsid w:val="00603AED"/>
    <w:rsid w:val="00604F96"/>
    <w:rsid w:val="00605661"/>
    <w:rsid w:val="00610DA8"/>
    <w:rsid w:val="006124FA"/>
    <w:rsid w:val="006137A9"/>
    <w:rsid w:val="00613936"/>
    <w:rsid w:val="00615745"/>
    <w:rsid w:val="00615CB0"/>
    <w:rsid w:val="006164B7"/>
    <w:rsid w:val="00620CD3"/>
    <w:rsid w:val="0062167D"/>
    <w:rsid w:val="006237CA"/>
    <w:rsid w:val="00623B2E"/>
    <w:rsid w:val="006270FB"/>
    <w:rsid w:val="00627747"/>
    <w:rsid w:val="006311D4"/>
    <w:rsid w:val="00631C12"/>
    <w:rsid w:val="00632D29"/>
    <w:rsid w:val="00633911"/>
    <w:rsid w:val="00633B82"/>
    <w:rsid w:val="00635F4F"/>
    <w:rsid w:val="00636EB2"/>
    <w:rsid w:val="006379A9"/>
    <w:rsid w:val="006405BA"/>
    <w:rsid w:val="00640902"/>
    <w:rsid w:val="00642121"/>
    <w:rsid w:val="00642812"/>
    <w:rsid w:val="00642ABA"/>
    <w:rsid w:val="006434A7"/>
    <w:rsid w:val="00644626"/>
    <w:rsid w:val="00645F7C"/>
    <w:rsid w:val="00646665"/>
    <w:rsid w:val="00646D89"/>
    <w:rsid w:val="00646FC5"/>
    <w:rsid w:val="00651BA3"/>
    <w:rsid w:val="006522C9"/>
    <w:rsid w:val="00652D1F"/>
    <w:rsid w:val="00652DCD"/>
    <w:rsid w:val="00654FEE"/>
    <w:rsid w:val="0065611E"/>
    <w:rsid w:val="00663B6E"/>
    <w:rsid w:val="00663C61"/>
    <w:rsid w:val="00670496"/>
    <w:rsid w:val="006723C7"/>
    <w:rsid w:val="00672BC0"/>
    <w:rsid w:val="00672F05"/>
    <w:rsid w:val="00673CAE"/>
    <w:rsid w:val="00674605"/>
    <w:rsid w:val="00676846"/>
    <w:rsid w:val="00680308"/>
    <w:rsid w:val="00680E80"/>
    <w:rsid w:val="00681696"/>
    <w:rsid w:val="00681BD1"/>
    <w:rsid w:val="0068219E"/>
    <w:rsid w:val="00683304"/>
    <w:rsid w:val="00683672"/>
    <w:rsid w:val="00683CAC"/>
    <w:rsid w:val="00687482"/>
    <w:rsid w:val="0068755E"/>
    <w:rsid w:val="006916E3"/>
    <w:rsid w:val="006919B1"/>
    <w:rsid w:val="00696257"/>
    <w:rsid w:val="00696C04"/>
    <w:rsid w:val="006971C3"/>
    <w:rsid w:val="006A0709"/>
    <w:rsid w:val="006A0DD6"/>
    <w:rsid w:val="006A12A2"/>
    <w:rsid w:val="006A2BCE"/>
    <w:rsid w:val="006A4089"/>
    <w:rsid w:val="006A6814"/>
    <w:rsid w:val="006B02E1"/>
    <w:rsid w:val="006B0C6C"/>
    <w:rsid w:val="006B0F2C"/>
    <w:rsid w:val="006B12FF"/>
    <w:rsid w:val="006B7186"/>
    <w:rsid w:val="006B71B8"/>
    <w:rsid w:val="006C3CD8"/>
    <w:rsid w:val="006C509E"/>
    <w:rsid w:val="006C5936"/>
    <w:rsid w:val="006C6331"/>
    <w:rsid w:val="006C744E"/>
    <w:rsid w:val="006C7B55"/>
    <w:rsid w:val="006D21DE"/>
    <w:rsid w:val="006D2EAB"/>
    <w:rsid w:val="006D33D1"/>
    <w:rsid w:val="006D38E0"/>
    <w:rsid w:val="006D3FC9"/>
    <w:rsid w:val="006D619A"/>
    <w:rsid w:val="006D7581"/>
    <w:rsid w:val="006D7784"/>
    <w:rsid w:val="006D7849"/>
    <w:rsid w:val="006E0215"/>
    <w:rsid w:val="006E15BD"/>
    <w:rsid w:val="006E1789"/>
    <w:rsid w:val="006E2540"/>
    <w:rsid w:val="006E2906"/>
    <w:rsid w:val="006E5D7A"/>
    <w:rsid w:val="006E6231"/>
    <w:rsid w:val="006E673C"/>
    <w:rsid w:val="006E74C5"/>
    <w:rsid w:val="006E7DE7"/>
    <w:rsid w:val="006F01DC"/>
    <w:rsid w:val="006F0F93"/>
    <w:rsid w:val="006F2039"/>
    <w:rsid w:val="006F30F2"/>
    <w:rsid w:val="006F3BCA"/>
    <w:rsid w:val="006F4C4E"/>
    <w:rsid w:val="006F57CA"/>
    <w:rsid w:val="006F6258"/>
    <w:rsid w:val="006F69A2"/>
    <w:rsid w:val="00700F93"/>
    <w:rsid w:val="00702F31"/>
    <w:rsid w:val="00703016"/>
    <w:rsid w:val="007035F9"/>
    <w:rsid w:val="0070497B"/>
    <w:rsid w:val="00706367"/>
    <w:rsid w:val="0071167A"/>
    <w:rsid w:val="00712F4D"/>
    <w:rsid w:val="00713E93"/>
    <w:rsid w:val="007147F2"/>
    <w:rsid w:val="0072201D"/>
    <w:rsid w:val="00723F34"/>
    <w:rsid w:val="00725442"/>
    <w:rsid w:val="00726332"/>
    <w:rsid w:val="0072692C"/>
    <w:rsid w:val="007269EB"/>
    <w:rsid w:val="00727B7C"/>
    <w:rsid w:val="00730627"/>
    <w:rsid w:val="007317C6"/>
    <w:rsid w:val="00732FCB"/>
    <w:rsid w:val="00734A7C"/>
    <w:rsid w:val="0073562E"/>
    <w:rsid w:val="00737AD2"/>
    <w:rsid w:val="00742F8C"/>
    <w:rsid w:val="00743B28"/>
    <w:rsid w:val="0074421F"/>
    <w:rsid w:val="00744C6D"/>
    <w:rsid w:val="00746472"/>
    <w:rsid w:val="0075061A"/>
    <w:rsid w:val="00750BE1"/>
    <w:rsid w:val="007517E0"/>
    <w:rsid w:val="00752002"/>
    <w:rsid w:val="00753D38"/>
    <w:rsid w:val="007554D2"/>
    <w:rsid w:val="00755C20"/>
    <w:rsid w:val="0075637B"/>
    <w:rsid w:val="007570BF"/>
    <w:rsid w:val="007613AE"/>
    <w:rsid w:val="00763097"/>
    <w:rsid w:val="00764401"/>
    <w:rsid w:val="007654EF"/>
    <w:rsid w:val="007664F6"/>
    <w:rsid w:val="00766D50"/>
    <w:rsid w:val="00766E2B"/>
    <w:rsid w:val="00766E5F"/>
    <w:rsid w:val="00767D7F"/>
    <w:rsid w:val="007708D9"/>
    <w:rsid w:val="007713BF"/>
    <w:rsid w:val="007736C3"/>
    <w:rsid w:val="00774137"/>
    <w:rsid w:val="00776428"/>
    <w:rsid w:val="007770BC"/>
    <w:rsid w:val="007808A6"/>
    <w:rsid w:val="00780D73"/>
    <w:rsid w:val="00783030"/>
    <w:rsid w:val="00783AEE"/>
    <w:rsid w:val="00784479"/>
    <w:rsid w:val="00784529"/>
    <w:rsid w:val="00786F81"/>
    <w:rsid w:val="007875E2"/>
    <w:rsid w:val="00790FC4"/>
    <w:rsid w:val="00792CD4"/>
    <w:rsid w:val="00792DB2"/>
    <w:rsid w:val="0079308B"/>
    <w:rsid w:val="00793700"/>
    <w:rsid w:val="00794BCC"/>
    <w:rsid w:val="00796051"/>
    <w:rsid w:val="007963E7"/>
    <w:rsid w:val="00796579"/>
    <w:rsid w:val="00797111"/>
    <w:rsid w:val="007A060A"/>
    <w:rsid w:val="007A06BF"/>
    <w:rsid w:val="007A167F"/>
    <w:rsid w:val="007A1A6D"/>
    <w:rsid w:val="007A1C1D"/>
    <w:rsid w:val="007A2884"/>
    <w:rsid w:val="007A29F1"/>
    <w:rsid w:val="007A3310"/>
    <w:rsid w:val="007A36EA"/>
    <w:rsid w:val="007A4C38"/>
    <w:rsid w:val="007A52A5"/>
    <w:rsid w:val="007A5EFA"/>
    <w:rsid w:val="007A6470"/>
    <w:rsid w:val="007B288E"/>
    <w:rsid w:val="007B355A"/>
    <w:rsid w:val="007B368C"/>
    <w:rsid w:val="007B50CE"/>
    <w:rsid w:val="007B71A8"/>
    <w:rsid w:val="007C114A"/>
    <w:rsid w:val="007C2341"/>
    <w:rsid w:val="007C3C65"/>
    <w:rsid w:val="007C60A0"/>
    <w:rsid w:val="007C61C5"/>
    <w:rsid w:val="007D0E8E"/>
    <w:rsid w:val="007D22F1"/>
    <w:rsid w:val="007D2409"/>
    <w:rsid w:val="007D36A1"/>
    <w:rsid w:val="007D45FA"/>
    <w:rsid w:val="007D5762"/>
    <w:rsid w:val="007D5F2D"/>
    <w:rsid w:val="007D78EC"/>
    <w:rsid w:val="007E0218"/>
    <w:rsid w:val="007E03C2"/>
    <w:rsid w:val="007E09F3"/>
    <w:rsid w:val="007E2BB1"/>
    <w:rsid w:val="007E3BEF"/>
    <w:rsid w:val="007E433E"/>
    <w:rsid w:val="007E53B1"/>
    <w:rsid w:val="007E6018"/>
    <w:rsid w:val="007E6DB7"/>
    <w:rsid w:val="007F0AC4"/>
    <w:rsid w:val="007F1023"/>
    <w:rsid w:val="007F1AED"/>
    <w:rsid w:val="007F2D23"/>
    <w:rsid w:val="007F367F"/>
    <w:rsid w:val="007F59D9"/>
    <w:rsid w:val="007F5A8A"/>
    <w:rsid w:val="007F6AF2"/>
    <w:rsid w:val="007F798D"/>
    <w:rsid w:val="0080017F"/>
    <w:rsid w:val="00803A51"/>
    <w:rsid w:val="00803E35"/>
    <w:rsid w:val="008042F9"/>
    <w:rsid w:val="008045DC"/>
    <w:rsid w:val="00805983"/>
    <w:rsid w:val="00806F6A"/>
    <w:rsid w:val="00807732"/>
    <w:rsid w:val="00810012"/>
    <w:rsid w:val="00814FBD"/>
    <w:rsid w:val="008157B7"/>
    <w:rsid w:val="00816D23"/>
    <w:rsid w:val="00820809"/>
    <w:rsid w:val="00822000"/>
    <w:rsid w:val="00823154"/>
    <w:rsid w:val="0082529D"/>
    <w:rsid w:val="008264C6"/>
    <w:rsid w:val="00830198"/>
    <w:rsid w:val="0083370D"/>
    <w:rsid w:val="0083426A"/>
    <w:rsid w:val="0083426B"/>
    <w:rsid w:val="00835786"/>
    <w:rsid w:val="00837447"/>
    <w:rsid w:val="008401A8"/>
    <w:rsid w:val="00841FFE"/>
    <w:rsid w:val="00843C06"/>
    <w:rsid w:val="00844397"/>
    <w:rsid w:val="00844CCC"/>
    <w:rsid w:val="00846B35"/>
    <w:rsid w:val="00846C9C"/>
    <w:rsid w:val="00854009"/>
    <w:rsid w:val="00855CA8"/>
    <w:rsid w:val="0086162A"/>
    <w:rsid w:val="00863C36"/>
    <w:rsid w:val="008648A2"/>
    <w:rsid w:val="00864AEB"/>
    <w:rsid w:val="008666E6"/>
    <w:rsid w:val="00866898"/>
    <w:rsid w:val="00867393"/>
    <w:rsid w:val="00870935"/>
    <w:rsid w:val="00871FCF"/>
    <w:rsid w:val="00872E9A"/>
    <w:rsid w:val="00872F32"/>
    <w:rsid w:val="0087391F"/>
    <w:rsid w:val="00873C79"/>
    <w:rsid w:val="00873D4E"/>
    <w:rsid w:val="00874605"/>
    <w:rsid w:val="008775A2"/>
    <w:rsid w:val="00880386"/>
    <w:rsid w:val="00881D16"/>
    <w:rsid w:val="00882298"/>
    <w:rsid w:val="00890954"/>
    <w:rsid w:val="00890A0E"/>
    <w:rsid w:val="0089243A"/>
    <w:rsid w:val="00895581"/>
    <w:rsid w:val="00896B20"/>
    <w:rsid w:val="00896F80"/>
    <w:rsid w:val="008A0687"/>
    <w:rsid w:val="008A0BE3"/>
    <w:rsid w:val="008A1498"/>
    <w:rsid w:val="008A1D8A"/>
    <w:rsid w:val="008A2497"/>
    <w:rsid w:val="008A250F"/>
    <w:rsid w:val="008A378F"/>
    <w:rsid w:val="008A5BA0"/>
    <w:rsid w:val="008A5F8F"/>
    <w:rsid w:val="008A670E"/>
    <w:rsid w:val="008B04BE"/>
    <w:rsid w:val="008B09FD"/>
    <w:rsid w:val="008B0BFB"/>
    <w:rsid w:val="008B1008"/>
    <w:rsid w:val="008B1802"/>
    <w:rsid w:val="008B2215"/>
    <w:rsid w:val="008B4322"/>
    <w:rsid w:val="008B4784"/>
    <w:rsid w:val="008B529A"/>
    <w:rsid w:val="008B5A2C"/>
    <w:rsid w:val="008B7453"/>
    <w:rsid w:val="008B74E8"/>
    <w:rsid w:val="008C0BCF"/>
    <w:rsid w:val="008C1094"/>
    <w:rsid w:val="008C2B73"/>
    <w:rsid w:val="008C3414"/>
    <w:rsid w:val="008C4B2C"/>
    <w:rsid w:val="008C6926"/>
    <w:rsid w:val="008D39B7"/>
    <w:rsid w:val="008D41B7"/>
    <w:rsid w:val="008D4B0E"/>
    <w:rsid w:val="008D56A9"/>
    <w:rsid w:val="008D6E35"/>
    <w:rsid w:val="008D7F51"/>
    <w:rsid w:val="008E0C18"/>
    <w:rsid w:val="008E0D0B"/>
    <w:rsid w:val="008E11A1"/>
    <w:rsid w:val="008E16D8"/>
    <w:rsid w:val="008E2199"/>
    <w:rsid w:val="008E7C5A"/>
    <w:rsid w:val="008F1EC0"/>
    <w:rsid w:val="008F200A"/>
    <w:rsid w:val="008F205A"/>
    <w:rsid w:val="008F3C93"/>
    <w:rsid w:val="008F4064"/>
    <w:rsid w:val="008F4792"/>
    <w:rsid w:val="008F61C5"/>
    <w:rsid w:val="008F7546"/>
    <w:rsid w:val="008F7990"/>
    <w:rsid w:val="00903D61"/>
    <w:rsid w:val="00904155"/>
    <w:rsid w:val="00904C28"/>
    <w:rsid w:val="00905FCA"/>
    <w:rsid w:val="00910CB2"/>
    <w:rsid w:val="00912CAA"/>
    <w:rsid w:val="009134EC"/>
    <w:rsid w:val="00913C46"/>
    <w:rsid w:val="0091424B"/>
    <w:rsid w:val="00916283"/>
    <w:rsid w:val="009215A7"/>
    <w:rsid w:val="0092355E"/>
    <w:rsid w:val="009238B1"/>
    <w:rsid w:val="00923953"/>
    <w:rsid w:val="00925F2F"/>
    <w:rsid w:val="0092610C"/>
    <w:rsid w:val="009268FE"/>
    <w:rsid w:val="00927A97"/>
    <w:rsid w:val="00927FEF"/>
    <w:rsid w:val="0093504B"/>
    <w:rsid w:val="009355A8"/>
    <w:rsid w:val="009379DE"/>
    <w:rsid w:val="00937E8D"/>
    <w:rsid w:val="0094179D"/>
    <w:rsid w:val="00941BF1"/>
    <w:rsid w:val="00942F2C"/>
    <w:rsid w:val="00943F3E"/>
    <w:rsid w:val="00943F7A"/>
    <w:rsid w:val="0094588D"/>
    <w:rsid w:val="0094744E"/>
    <w:rsid w:val="00950296"/>
    <w:rsid w:val="00951005"/>
    <w:rsid w:val="00952670"/>
    <w:rsid w:val="00956094"/>
    <w:rsid w:val="00956128"/>
    <w:rsid w:val="00957C69"/>
    <w:rsid w:val="00961BF6"/>
    <w:rsid w:val="00962BFD"/>
    <w:rsid w:val="00962E87"/>
    <w:rsid w:val="009630C3"/>
    <w:rsid w:val="00965A27"/>
    <w:rsid w:val="00965B11"/>
    <w:rsid w:val="0097001D"/>
    <w:rsid w:val="009711AA"/>
    <w:rsid w:val="00971831"/>
    <w:rsid w:val="009718D2"/>
    <w:rsid w:val="0097440B"/>
    <w:rsid w:val="00974CCC"/>
    <w:rsid w:val="009770E8"/>
    <w:rsid w:val="00977BE9"/>
    <w:rsid w:val="0098072E"/>
    <w:rsid w:val="0098159C"/>
    <w:rsid w:val="0098412C"/>
    <w:rsid w:val="00984A7B"/>
    <w:rsid w:val="00986395"/>
    <w:rsid w:val="00991491"/>
    <w:rsid w:val="00991946"/>
    <w:rsid w:val="00992AEA"/>
    <w:rsid w:val="00992B99"/>
    <w:rsid w:val="00992F95"/>
    <w:rsid w:val="009944DD"/>
    <w:rsid w:val="00994B15"/>
    <w:rsid w:val="009951A2"/>
    <w:rsid w:val="00997A2D"/>
    <w:rsid w:val="009A000B"/>
    <w:rsid w:val="009A0BD2"/>
    <w:rsid w:val="009A22B1"/>
    <w:rsid w:val="009A2F11"/>
    <w:rsid w:val="009A3474"/>
    <w:rsid w:val="009A3CA1"/>
    <w:rsid w:val="009A3E55"/>
    <w:rsid w:val="009A5F82"/>
    <w:rsid w:val="009A67B8"/>
    <w:rsid w:val="009A67BE"/>
    <w:rsid w:val="009A6DBE"/>
    <w:rsid w:val="009A6E43"/>
    <w:rsid w:val="009A6EB1"/>
    <w:rsid w:val="009A6FDE"/>
    <w:rsid w:val="009A7DEB"/>
    <w:rsid w:val="009B0467"/>
    <w:rsid w:val="009B04C0"/>
    <w:rsid w:val="009B073F"/>
    <w:rsid w:val="009B0891"/>
    <w:rsid w:val="009B135F"/>
    <w:rsid w:val="009B1C07"/>
    <w:rsid w:val="009B21EF"/>
    <w:rsid w:val="009B31D8"/>
    <w:rsid w:val="009B5A91"/>
    <w:rsid w:val="009B6D4A"/>
    <w:rsid w:val="009B7970"/>
    <w:rsid w:val="009C06B7"/>
    <w:rsid w:val="009C0732"/>
    <w:rsid w:val="009C16E9"/>
    <w:rsid w:val="009C2325"/>
    <w:rsid w:val="009C2EF6"/>
    <w:rsid w:val="009C496F"/>
    <w:rsid w:val="009C5478"/>
    <w:rsid w:val="009C549A"/>
    <w:rsid w:val="009C583D"/>
    <w:rsid w:val="009C587F"/>
    <w:rsid w:val="009C6EA9"/>
    <w:rsid w:val="009C78DF"/>
    <w:rsid w:val="009D07C3"/>
    <w:rsid w:val="009D28DD"/>
    <w:rsid w:val="009D2CF3"/>
    <w:rsid w:val="009D5160"/>
    <w:rsid w:val="009D663D"/>
    <w:rsid w:val="009D6B32"/>
    <w:rsid w:val="009E27DE"/>
    <w:rsid w:val="009E32A3"/>
    <w:rsid w:val="009E3CED"/>
    <w:rsid w:val="009E425C"/>
    <w:rsid w:val="009E4549"/>
    <w:rsid w:val="009E4F58"/>
    <w:rsid w:val="009F0551"/>
    <w:rsid w:val="009F0EF7"/>
    <w:rsid w:val="009F11DE"/>
    <w:rsid w:val="009F38E6"/>
    <w:rsid w:val="009F4EE2"/>
    <w:rsid w:val="009F4FE6"/>
    <w:rsid w:val="00A01433"/>
    <w:rsid w:val="00A0179C"/>
    <w:rsid w:val="00A028A8"/>
    <w:rsid w:val="00A03251"/>
    <w:rsid w:val="00A04F37"/>
    <w:rsid w:val="00A0583A"/>
    <w:rsid w:val="00A0733F"/>
    <w:rsid w:val="00A07DC1"/>
    <w:rsid w:val="00A1037F"/>
    <w:rsid w:val="00A10CD2"/>
    <w:rsid w:val="00A13E8D"/>
    <w:rsid w:val="00A146DE"/>
    <w:rsid w:val="00A15F34"/>
    <w:rsid w:val="00A204DC"/>
    <w:rsid w:val="00A20DD2"/>
    <w:rsid w:val="00A24B47"/>
    <w:rsid w:val="00A30ED1"/>
    <w:rsid w:val="00A31055"/>
    <w:rsid w:val="00A32729"/>
    <w:rsid w:val="00A3362F"/>
    <w:rsid w:val="00A34E82"/>
    <w:rsid w:val="00A34FF3"/>
    <w:rsid w:val="00A3583F"/>
    <w:rsid w:val="00A35D34"/>
    <w:rsid w:val="00A36757"/>
    <w:rsid w:val="00A4106C"/>
    <w:rsid w:val="00A42F57"/>
    <w:rsid w:val="00A44145"/>
    <w:rsid w:val="00A44764"/>
    <w:rsid w:val="00A44B47"/>
    <w:rsid w:val="00A45700"/>
    <w:rsid w:val="00A47CC4"/>
    <w:rsid w:val="00A47CE5"/>
    <w:rsid w:val="00A47ED0"/>
    <w:rsid w:val="00A503E4"/>
    <w:rsid w:val="00A51C4F"/>
    <w:rsid w:val="00A51E81"/>
    <w:rsid w:val="00A51EE5"/>
    <w:rsid w:val="00A52B86"/>
    <w:rsid w:val="00A53BFE"/>
    <w:rsid w:val="00A53C79"/>
    <w:rsid w:val="00A53CE9"/>
    <w:rsid w:val="00A53DE3"/>
    <w:rsid w:val="00A53EDA"/>
    <w:rsid w:val="00A546BD"/>
    <w:rsid w:val="00A54F99"/>
    <w:rsid w:val="00A5564F"/>
    <w:rsid w:val="00A56A03"/>
    <w:rsid w:val="00A574B0"/>
    <w:rsid w:val="00A57A15"/>
    <w:rsid w:val="00A60A7B"/>
    <w:rsid w:val="00A60B5C"/>
    <w:rsid w:val="00A60F9E"/>
    <w:rsid w:val="00A61C29"/>
    <w:rsid w:val="00A61F5E"/>
    <w:rsid w:val="00A62D57"/>
    <w:rsid w:val="00A6329E"/>
    <w:rsid w:val="00A6429D"/>
    <w:rsid w:val="00A652A9"/>
    <w:rsid w:val="00A66F2F"/>
    <w:rsid w:val="00A67796"/>
    <w:rsid w:val="00A67CCE"/>
    <w:rsid w:val="00A7181B"/>
    <w:rsid w:val="00A72BF5"/>
    <w:rsid w:val="00A732AF"/>
    <w:rsid w:val="00A74C3E"/>
    <w:rsid w:val="00A75A85"/>
    <w:rsid w:val="00A7749C"/>
    <w:rsid w:val="00A80C08"/>
    <w:rsid w:val="00A8421B"/>
    <w:rsid w:val="00A844ED"/>
    <w:rsid w:val="00A85833"/>
    <w:rsid w:val="00A85CD7"/>
    <w:rsid w:val="00A85E12"/>
    <w:rsid w:val="00A86049"/>
    <w:rsid w:val="00A864AB"/>
    <w:rsid w:val="00A86C77"/>
    <w:rsid w:val="00A86E7E"/>
    <w:rsid w:val="00A87950"/>
    <w:rsid w:val="00A91389"/>
    <w:rsid w:val="00A9481F"/>
    <w:rsid w:val="00A95485"/>
    <w:rsid w:val="00A965BE"/>
    <w:rsid w:val="00A97270"/>
    <w:rsid w:val="00AA0357"/>
    <w:rsid w:val="00AA5D27"/>
    <w:rsid w:val="00AA6C01"/>
    <w:rsid w:val="00AA79B3"/>
    <w:rsid w:val="00AA7DD3"/>
    <w:rsid w:val="00AB101B"/>
    <w:rsid w:val="00AB27A7"/>
    <w:rsid w:val="00AB34B0"/>
    <w:rsid w:val="00AB4EF5"/>
    <w:rsid w:val="00AB5BB4"/>
    <w:rsid w:val="00AB6155"/>
    <w:rsid w:val="00AB61C4"/>
    <w:rsid w:val="00AB77BD"/>
    <w:rsid w:val="00AB7A26"/>
    <w:rsid w:val="00AB7DD3"/>
    <w:rsid w:val="00AC0C8E"/>
    <w:rsid w:val="00AC1ED8"/>
    <w:rsid w:val="00AC2C88"/>
    <w:rsid w:val="00AC3AC0"/>
    <w:rsid w:val="00AC49EC"/>
    <w:rsid w:val="00AC4B68"/>
    <w:rsid w:val="00AC4D36"/>
    <w:rsid w:val="00AD05A9"/>
    <w:rsid w:val="00AD0A64"/>
    <w:rsid w:val="00AD2C57"/>
    <w:rsid w:val="00AD32F0"/>
    <w:rsid w:val="00AD443B"/>
    <w:rsid w:val="00AD4A85"/>
    <w:rsid w:val="00AD70DE"/>
    <w:rsid w:val="00AD78DA"/>
    <w:rsid w:val="00AE01E1"/>
    <w:rsid w:val="00AE10F3"/>
    <w:rsid w:val="00AE1624"/>
    <w:rsid w:val="00AE3D38"/>
    <w:rsid w:val="00AE42D3"/>
    <w:rsid w:val="00AE4968"/>
    <w:rsid w:val="00AE5CB8"/>
    <w:rsid w:val="00AE645D"/>
    <w:rsid w:val="00AE72B7"/>
    <w:rsid w:val="00AE73EE"/>
    <w:rsid w:val="00AE75BC"/>
    <w:rsid w:val="00AF135D"/>
    <w:rsid w:val="00AF227D"/>
    <w:rsid w:val="00AF30A6"/>
    <w:rsid w:val="00AF3579"/>
    <w:rsid w:val="00AF44E6"/>
    <w:rsid w:val="00AF754E"/>
    <w:rsid w:val="00B0004A"/>
    <w:rsid w:val="00B00166"/>
    <w:rsid w:val="00B00D28"/>
    <w:rsid w:val="00B04996"/>
    <w:rsid w:val="00B04C2F"/>
    <w:rsid w:val="00B056CF"/>
    <w:rsid w:val="00B05C03"/>
    <w:rsid w:val="00B07680"/>
    <w:rsid w:val="00B10A2A"/>
    <w:rsid w:val="00B11D1B"/>
    <w:rsid w:val="00B17223"/>
    <w:rsid w:val="00B20CBD"/>
    <w:rsid w:val="00B22665"/>
    <w:rsid w:val="00B2274D"/>
    <w:rsid w:val="00B228FD"/>
    <w:rsid w:val="00B22AC4"/>
    <w:rsid w:val="00B23324"/>
    <w:rsid w:val="00B23AE4"/>
    <w:rsid w:val="00B253E8"/>
    <w:rsid w:val="00B26E84"/>
    <w:rsid w:val="00B27A17"/>
    <w:rsid w:val="00B33057"/>
    <w:rsid w:val="00B34EDF"/>
    <w:rsid w:val="00B35944"/>
    <w:rsid w:val="00B37763"/>
    <w:rsid w:val="00B40BB4"/>
    <w:rsid w:val="00B40D1B"/>
    <w:rsid w:val="00B40DB1"/>
    <w:rsid w:val="00B4262C"/>
    <w:rsid w:val="00B43E53"/>
    <w:rsid w:val="00B4504B"/>
    <w:rsid w:val="00B452A9"/>
    <w:rsid w:val="00B45328"/>
    <w:rsid w:val="00B478DB"/>
    <w:rsid w:val="00B5164C"/>
    <w:rsid w:val="00B52371"/>
    <w:rsid w:val="00B533F9"/>
    <w:rsid w:val="00B54B8C"/>
    <w:rsid w:val="00B54DAC"/>
    <w:rsid w:val="00B55024"/>
    <w:rsid w:val="00B55630"/>
    <w:rsid w:val="00B5619A"/>
    <w:rsid w:val="00B60E3D"/>
    <w:rsid w:val="00B61C7B"/>
    <w:rsid w:val="00B6287D"/>
    <w:rsid w:val="00B63867"/>
    <w:rsid w:val="00B63A8B"/>
    <w:rsid w:val="00B64FCF"/>
    <w:rsid w:val="00B65396"/>
    <w:rsid w:val="00B66205"/>
    <w:rsid w:val="00B67159"/>
    <w:rsid w:val="00B675A7"/>
    <w:rsid w:val="00B67DFC"/>
    <w:rsid w:val="00B7250E"/>
    <w:rsid w:val="00B7251D"/>
    <w:rsid w:val="00B7269F"/>
    <w:rsid w:val="00B80817"/>
    <w:rsid w:val="00B80E95"/>
    <w:rsid w:val="00B82000"/>
    <w:rsid w:val="00B822D4"/>
    <w:rsid w:val="00B82F88"/>
    <w:rsid w:val="00B84458"/>
    <w:rsid w:val="00B84555"/>
    <w:rsid w:val="00B84EAE"/>
    <w:rsid w:val="00B8599C"/>
    <w:rsid w:val="00B85DD0"/>
    <w:rsid w:val="00B86CEF"/>
    <w:rsid w:val="00B86F14"/>
    <w:rsid w:val="00B872A5"/>
    <w:rsid w:val="00B87B5A"/>
    <w:rsid w:val="00B87BF7"/>
    <w:rsid w:val="00B9477D"/>
    <w:rsid w:val="00B95196"/>
    <w:rsid w:val="00B962F9"/>
    <w:rsid w:val="00B9667C"/>
    <w:rsid w:val="00B96FF3"/>
    <w:rsid w:val="00BA009F"/>
    <w:rsid w:val="00BA14B5"/>
    <w:rsid w:val="00BA2117"/>
    <w:rsid w:val="00BA39EC"/>
    <w:rsid w:val="00BA41AE"/>
    <w:rsid w:val="00BA49CA"/>
    <w:rsid w:val="00BA5E0E"/>
    <w:rsid w:val="00BA6738"/>
    <w:rsid w:val="00BA6EFE"/>
    <w:rsid w:val="00BB074E"/>
    <w:rsid w:val="00BB326A"/>
    <w:rsid w:val="00BB3503"/>
    <w:rsid w:val="00BB4C62"/>
    <w:rsid w:val="00BB5D65"/>
    <w:rsid w:val="00BC0250"/>
    <w:rsid w:val="00BC20AD"/>
    <w:rsid w:val="00BC2794"/>
    <w:rsid w:val="00BC2B68"/>
    <w:rsid w:val="00BC3741"/>
    <w:rsid w:val="00BC38CF"/>
    <w:rsid w:val="00BC573D"/>
    <w:rsid w:val="00BC6FB7"/>
    <w:rsid w:val="00BC7BBD"/>
    <w:rsid w:val="00BD087F"/>
    <w:rsid w:val="00BD3278"/>
    <w:rsid w:val="00BD3DBC"/>
    <w:rsid w:val="00BD3FC8"/>
    <w:rsid w:val="00BD4553"/>
    <w:rsid w:val="00BD6BF6"/>
    <w:rsid w:val="00BE0D1C"/>
    <w:rsid w:val="00BE4905"/>
    <w:rsid w:val="00BE4B05"/>
    <w:rsid w:val="00BE4D45"/>
    <w:rsid w:val="00BE5BA9"/>
    <w:rsid w:val="00BE7A6A"/>
    <w:rsid w:val="00BF012D"/>
    <w:rsid w:val="00BF14C7"/>
    <w:rsid w:val="00BF20F5"/>
    <w:rsid w:val="00BF29B0"/>
    <w:rsid w:val="00BF572B"/>
    <w:rsid w:val="00C00A40"/>
    <w:rsid w:val="00C01EF0"/>
    <w:rsid w:val="00C02286"/>
    <w:rsid w:val="00C05A63"/>
    <w:rsid w:val="00C05C0B"/>
    <w:rsid w:val="00C06173"/>
    <w:rsid w:val="00C06563"/>
    <w:rsid w:val="00C07590"/>
    <w:rsid w:val="00C102EA"/>
    <w:rsid w:val="00C10FEC"/>
    <w:rsid w:val="00C13EF5"/>
    <w:rsid w:val="00C17CC6"/>
    <w:rsid w:val="00C17F4A"/>
    <w:rsid w:val="00C22C62"/>
    <w:rsid w:val="00C26316"/>
    <w:rsid w:val="00C30C1F"/>
    <w:rsid w:val="00C33E95"/>
    <w:rsid w:val="00C33F19"/>
    <w:rsid w:val="00C34895"/>
    <w:rsid w:val="00C34EBC"/>
    <w:rsid w:val="00C3695E"/>
    <w:rsid w:val="00C37479"/>
    <w:rsid w:val="00C37667"/>
    <w:rsid w:val="00C402A3"/>
    <w:rsid w:val="00C416B1"/>
    <w:rsid w:val="00C424C6"/>
    <w:rsid w:val="00C4275B"/>
    <w:rsid w:val="00C42949"/>
    <w:rsid w:val="00C44C2D"/>
    <w:rsid w:val="00C452F5"/>
    <w:rsid w:val="00C46095"/>
    <w:rsid w:val="00C5196D"/>
    <w:rsid w:val="00C5270A"/>
    <w:rsid w:val="00C536A1"/>
    <w:rsid w:val="00C539F2"/>
    <w:rsid w:val="00C545F0"/>
    <w:rsid w:val="00C549F9"/>
    <w:rsid w:val="00C54BAB"/>
    <w:rsid w:val="00C54D3E"/>
    <w:rsid w:val="00C54D8D"/>
    <w:rsid w:val="00C55370"/>
    <w:rsid w:val="00C56765"/>
    <w:rsid w:val="00C60E0B"/>
    <w:rsid w:val="00C6356B"/>
    <w:rsid w:val="00C65CEE"/>
    <w:rsid w:val="00C66588"/>
    <w:rsid w:val="00C66AB4"/>
    <w:rsid w:val="00C674EA"/>
    <w:rsid w:val="00C679B6"/>
    <w:rsid w:val="00C7166C"/>
    <w:rsid w:val="00C74503"/>
    <w:rsid w:val="00C75E8C"/>
    <w:rsid w:val="00C76562"/>
    <w:rsid w:val="00C77017"/>
    <w:rsid w:val="00C8258F"/>
    <w:rsid w:val="00C83F53"/>
    <w:rsid w:val="00C843DE"/>
    <w:rsid w:val="00C85607"/>
    <w:rsid w:val="00C8564D"/>
    <w:rsid w:val="00C85F21"/>
    <w:rsid w:val="00C86C0A"/>
    <w:rsid w:val="00C90259"/>
    <w:rsid w:val="00C948E3"/>
    <w:rsid w:val="00C95257"/>
    <w:rsid w:val="00C973B5"/>
    <w:rsid w:val="00CA07BB"/>
    <w:rsid w:val="00CA0D3D"/>
    <w:rsid w:val="00CA1405"/>
    <w:rsid w:val="00CA1564"/>
    <w:rsid w:val="00CA36AC"/>
    <w:rsid w:val="00CA3E21"/>
    <w:rsid w:val="00CA5327"/>
    <w:rsid w:val="00CA69F9"/>
    <w:rsid w:val="00CB2B70"/>
    <w:rsid w:val="00CB3895"/>
    <w:rsid w:val="00CB4C76"/>
    <w:rsid w:val="00CB515F"/>
    <w:rsid w:val="00CB5308"/>
    <w:rsid w:val="00CB586A"/>
    <w:rsid w:val="00CB7C72"/>
    <w:rsid w:val="00CB7C78"/>
    <w:rsid w:val="00CC12ED"/>
    <w:rsid w:val="00CC2880"/>
    <w:rsid w:val="00CC2883"/>
    <w:rsid w:val="00CC3591"/>
    <w:rsid w:val="00CC5090"/>
    <w:rsid w:val="00CC6CCA"/>
    <w:rsid w:val="00CC76A9"/>
    <w:rsid w:val="00CD34FA"/>
    <w:rsid w:val="00CD45D6"/>
    <w:rsid w:val="00CD4BAE"/>
    <w:rsid w:val="00CD699E"/>
    <w:rsid w:val="00CD7BE7"/>
    <w:rsid w:val="00CD7EC6"/>
    <w:rsid w:val="00CE0A49"/>
    <w:rsid w:val="00CE1319"/>
    <w:rsid w:val="00CE2230"/>
    <w:rsid w:val="00CE4712"/>
    <w:rsid w:val="00CE6150"/>
    <w:rsid w:val="00CE6E25"/>
    <w:rsid w:val="00CE7FC5"/>
    <w:rsid w:val="00CF05AE"/>
    <w:rsid w:val="00CF26C0"/>
    <w:rsid w:val="00CF405A"/>
    <w:rsid w:val="00CF6385"/>
    <w:rsid w:val="00CF7681"/>
    <w:rsid w:val="00D0004E"/>
    <w:rsid w:val="00D00990"/>
    <w:rsid w:val="00D00DC4"/>
    <w:rsid w:val="00D01957"/>
    <w:rsid w:val="00D04B8F"/>
    <w:rsid w:val="00D06D70"/>
    <w:rsid w:val="00D06FD1"/>
    <w:rsid w:val="00D07F51"/>
    <w:rsid w:val="00D15CBD"/>
    <w:rsid w:val="00D15CDE"/>
    <w:rsid w:val="00D215AB"/>
    <w:rsid w:val="00D24F22"/>
    <w:rsid w:val="00D255D8"/>
    <w:rsid w:val="00D30651"/>
    <w:rsid w:val="00D310AA"/>
    <w:rsid w:val="00D33B9F"/>
    <w:rsid w:val="00D34CB0"/>
    <w:rsid w:val="00D34CCE"/>
    <w:rsid w:val="00D35611"/>
    <w:rsid w:val="00D35F15"/>
    <w:rsid w:val="00D3755D"/>
    <w:rsid w:val="00D4122F"/>
    <w:rsid w:val="00D41261"/>
    <w:rsid w:val="00D412E3"/>
    <w:rsid w:val="00D413C5"/>
    <w:rsid w:val="00D41FD5"/>
    <w:rsid w:val="00D4386A"/>
    <w:rsid w:val="00D44AE7"/>
    <w:rsid w:val="00D4590F"/>
    <w:rsid w:val="00D4698A"/>
    <w:rsid w:val="00D50A7B"/>
    <w:rsid w:val="00D52CCD"/>
    <w:rsid w:val="00D55437"/>
    <w:rsid w:val="00D5710D"/>
    <w:rsid w:val="00D57A39"/>
    <w:rsid w:val="00D6147A"/>
    <w:rsid w:val="00D62DAC"/>
    <w:rsid w:val="00D63360"/>
    <w:rsid w:val="00D63BEF"/>
    <w:rsid w:val="00D65CDA"/>
    <w:rsid w:val="00D65E00"/>
    <w:rsid w:val="00D66ED3"/>
    <w:rsid w:val="00D670A8"/>
    <w:rsid w:val="00D67E1F"/>
    <w:rsid w:val="00D716EA"/>
    <w:rsid w:val="00D7335D"/>
    <w:rsid w:val="00D74047"/>
    <w:rsid w:val="00D74174"/>
    <w:rsid w:val="00D764D9"/>
    <w:rsid w:val="00D765BE"/>
    <w:rsid w:val="00D80DE2"/>
    <w:rsid w:val="00D8107F"/>
    <w:rsid w:val="00D8206B"/>
    <w:rsid w:val="00D84037"/>
    <w:rsid w:val="00D84525"/>
    <w:rsid w:val="00D853E9"/>
    <w:rsid w:val="00D85A36"/>
    <w:rsid w:val="00D9105B"/>
    <w:rsid w:val="00D92F86"/>
    <w:rsid w:val="00D932ED"/>
    <w:rsid w:val="00D93BE3"/>
    <w:rsid w:val="00D95DB9"/>
    <w:rsid w:val="00DA1F3C"/>
    <w:rsid w:val="00DA4715"/>
    <w:rsid w:val="00DA5271"/>
    <w:rsid w:val="00DA5793"/>
    <w:rsid w:val="00DA753C"/>
    <w:rsid w:val="00DB232D"/>
    <w:rsid w:val="00DB2DBF"/>
    <w:rsid w:val="00DB40FC"/>
    <w:rsid w:val="00DB4168"/>
    <w:rsid w:val="00DB5614"/>
    <w:rsid w:val="00DB7D08"/>
    <w:rsid w:val="00DC2387"/>
    <w:rsid w:val="00DC287A"/>
    <w:rsid w:val="00DC362A"/>
    <w:rsid w:val="00DD0A4B"/>
    <w:rsid w:val="00DD1316"/>
    <w:rsid w:val="00DD2833"/>
    <w:rsid w:val="00DD2DB5"/>
    <w:rsid w:val="00DD53FF"/>
    <w:rsid w:val="00DD61B3"/>
    <w:rsid w:val="00DD76B3"/>
    <w:rsid w:val="00DE211D"/>
    <w:rsid w:val="00DE28E9"/>
    <w:rsid w:val="00DE4BC1"/>
    <w:rsid w:val="00DE544C"/>
    <w:rsid w:val="00DE59CE"/>
    <w:rsid w:val="00DE70A0"/>
    <w:rsid w:val="00DF26E3"/>
    <w:rsid w:val="00DF31DB"/>
    <w:rsid w:val="00DF3637"/>
    <w:rsid w:val="00DF518A"/>
    <w:rsid w:val="00DF5866"/>
    <w:rsid w:val="00DF7633"/>
    <w:rsid w:val="00E012BD"/>
    <w:rsid w:val="00E05131"/>
    <w:rsid w:val="00E060B3"/>
    <w:rsid w:val="00E0665D"/>
    <w:rsid w:val="00E0723C"/>
    <w:rsid w:val="00E0746C"/>
    <w:rsid w:val="00E1106C"/>
    <w:rsid w:val="00E13C8F"/>
    <w:rsid w:val="00E1477F"/>
    <w:rsid w:val="00E16C4A"/>
    <w:rsid w:val="00E2001E"/>
    <w:rsid w:val="00E20148"/>
    <w:rsid w:val="00E20B1F"/>
    <w:rsid w:val="00E20CB4"/>
    <w:rsid w:val="00E20F3D"/>
    <w:rsid w:val="00E212AA"/>
    <w:rsid w:val="00E21AFE"/>
    <w:rsid w:val="00E25C7A"/>
    <w:rsid w:val="00E304AD"/>
    <w:rsid w:val="00E31039"/>
    <w:rsid w:val="00E3141B"/>
    <w:rsid w:val="00E31B64"/>
    <w:rsid w:val="00E32340"/>
    <w:rsid w:val="00E3419C"/>
    <w:rsid w:val="00E34398"/>
    <w:rsid w:val="00E34E72"/>
    <w:rsid w:val="00E35206"/>
    <w:rsid w:val="00E376F1"/>
    <w:rsid w:val="00E41E2D"/>
    <w:rsid w:val="00E42ACE"/>
    <w:rsid w:val="00E42E99"/>
    <w:rsid w:val="00E43494"/>
    <w:rsid w:val="00E47AF7"/>
    <w:rsid w:val="00E50F87"/>
    <w:rsid w:val="00E51106"/>
    <w:rsid w:val="00E51189"/>
    <w:rsid w:val="00E54F21"/>
    <w:rsid w:val="00E55253"/>
    <w:rsid w:val="00E55D99"/>
    <w:rsid w:val="00E57AC3"/>
    <w:rsid w:val="00E57AC5"/>
    <w:rsid w:val="00E61286"/>
    <w:rsid w:val="00E61953"/>
    <w:rsid w:val="00E62A71"/>
    <w:rsid w:val="00E62AF7"/>
    <w:rsid w:val="00E62BCA"/>
    <w:rsid w:val="00E66648"/>
    <w:rsid w:val="00E66A2E"/>
    <w:rsid w:val="00E70A37"/>
    <w:rsid w:val="00E72188"/>
    <w:rsid w:val="00E74A90"/>
    <w:rsid w:val="00E763EA"/>
    <w:rsid w:val="00E772CC"/>
    <w:rsid w:val="00E77727"/>
    <w:rsid w:val="00E81DCF"/>
    <w:rsid w:val="00E82605"/>
    <w:rsid w:val="00E91791"/>
    <w:rsid w:val="00E92227"/>
    <w:rsid w:val="00E92D7F"/>
    <w:rsid w:val="00E94B45"/>
    <w:rsid w:val="00E96BEA"/>
    <w:rsid w:val="00EA04B2"/>
    <w:rsid w:val="00EA4CFF"/>
    <w:rsid w:val="00EA5F7B"/>
    <w:rsid w:val="00EA61D2"/>
    <w:rsid w:val="00EA73B7"/>
    <w:rsid w:val="00EA75F1"/>
    <w:rsid w:val="00EA7F26"/>
    <w:rsid w:val="00EB2447"/>
    <w:rsid w:val="00EB298D"/>
    <w:rsid w:val="00EB2B33"/>
    <w:rsid w:val="00EB3100"/>
    <w:rsid w:val="00EB3E08"/>
    <w:rsid w:val="00EB4190"/>
    <w:rsid w:val="00EB7EAD"/>
    <w:rsid w:val="00EC016A"/>
    <w:rsid w:val="00EC2F51"/>
    <w:rsid w:val="00EC3480"/>
    <w:rsid w:val="00EC37C4"/>
    <w:rsid w:val="00EC3D94"/>
    <w:rsid w:val="00EC49EA"/>
    <w:rsid w:val="00EC5DD8"/>
    <w:rsid w:val="00EC713A"/>
    <w:rsid w:val="00ED3196"/>
    <w:rsid w:val="00ED354F"/>
    <w:rsid w:val="00ED3C1E"/>
    <w:rsid w:val="00ED41CA"/>
    <w:rsid w:val="00ED47C2"/>
    <w:rsid w:val="00ED486E"/>
    <w:rsid w:val="00ED5426"/>
    <w:rsid w:val="00ED5523"/>
    <w:rsid w:val="00ED5C46"/>
    <w:rsid w:val="00ED62D9"/>
    <w:rsid w:val="00ED64A8"/>
    <w:rsid w:val="00ED65C2"/>
    <w:rsid w:val="00ED7448"/>
    <w:rsid w:val="00ED7833"/>
    <w:rsid w:val="00EE1D4E"/>
    <w:rsid w:val="00EE1E12"/>
    <w:rsid w:val="00EE5690"/>
    <w:rsid w:val="00EE6C4B"/>
    <w:rsid w:val="00EF11B7"/>
    <w:rsid w:val="00EF28BF"/>
    <w:rsid w:val="00EF2D35"/>
    <w:rsid w:val="00EF32EB"/>
    <w:rsid w:val="00EF46AE"/>
    <w:rsid w:val="00EF53EB"/>
    <w:rsid w:val="00EF5AD0"/>
    <w:rsid w:val="00EF67B1"/>
    <w:rsid w:val="00F01572"/>
    <w:rsid w:val="00F0288A"/>
    <w:rsid w:val="00F05FC9"/>
    <w:rsid w:val="00F07351"/>
    <w:rsid w:val="00F1125D"/>
    <w:rsid w:val="00F11A4D"/>
    <w:rsid w:val="00F130ED"/>
    <w:rsid w:val="00F13689"/>
    <w:rsid w:val="00F13934"/>
    <w:rsid w:val="00F13ABE"/>
    <w:rsid w:val="00F1738E"/>
    <w:rsid w:val="00F217E8"/>
    <w:rsid w:val="00F220BD"/>
    <w:rsid w:val="00F221FA"/>
    <w:rsid w:val="00F23442"/>
    <w:rsid w:val="00F23562"/>
    <w:rsid w:val="00F2437B"/>
    <w:rsid w:val="00F2724F"/>
    <w:rsid w:val="00F27854"/>
    <w:rsid w:val="00F30F20"/>
    <w:rsid w:val="00F30FC0"/>
    <w:rsid w:val="00F33E9E"/>
    <w:rsid w:val="00F34916"/>
    <w:rsid w:val="00F34A6A"/>
    <w:rsid w:val="00F34A9B"/>
    <w:rsid w:val="00F36846"/>
    <w:rsid w:val="00F36EE6"/>
    <w:rsid w:val="00F376F4"/>
    <w:rsid w:val="00F40E7F"/>
    <w:rsid w:val="00F42200"/>
    <w:rsid w:val="00F42687"/>
    <w:rsid w:val="00F44225"/>
    <w:rsid w:val="00F47374"/>
    <w:rsid w:val="00F4790D"/>
    <w:rsid w:val="00F47CC8"/>
    <w:rsid w:val="00F47F5C"/>
    <w:rsid w:val="00F5044C"/>
    <w:rsid w:val="00F50C7D"/>
    <w:rsid w:val="00F52EEF"/>
    <w:rsid w:val="00F543D4"/>
    <w:rsid w:val="00F55D2C"/>
    <w:rsid w:val="00F55FCE"/>
    <w:rsid w:val="00F5799F"/>
    <w:rsid w:val="00F605B3"/>
    <w:rsid w:val="00F61ADA"/>
    <w:rsid w:val="00F62E6A"/>
    <w:rsid w:val="00F63294"/>
    <w:rsid w:val="00F63445"/>
    <w:rsid w:val="00F64349"/>
    <w:rsid w:val="00F67CE9"/>
    <w:rsid w:val="00F715BA"/>
    <w:rsid w:val="00F72C6C"/>
    <w:rsid w:val="00F73055"/>
    <w:rsid w:val="00F738F5"/>
    <w:rsid w:val="00F74116"/>
    <w:rsid w:val="00F77AC0"/>
    <w:rsid w:val="00F77F5C"/>
    <w:rsid w:val="00F805E8"/>
    <w:rsid w:val="00F80753"/>
    <w:rsid w:val="00F81D62"/>
    <w:rsid w:val="00F82415"/>
    <w:rsid w:val="00F84240"/>
    <w:rsid w:val="00F85429"/>
    <w:rsid w:val="00F86480"/>
    <w:rsid w:val="00F87DEA"/>
    <w:rsid w:val="00F911C8"/>
    <w:rsid w:val="00F9192F"/>
    <w:rsid w:val="00F93224"/>
    <w:rsid w:val="00F93A4F"/>
    <w:rsid w:val="00F94D78"/>
    <w:rsid w:val="00F96D1F"/>
    <w:rsid w:val="00FA01B2"/>
    <w:rsid w:val="00FA29E7"/>
    <w:rsid w:val="00FA3035"/>
    <w:rsid w:val="00FA4E12"/>
    <w:rsid w:val="00FA635A"/>
    <w:rsid w:val="00FA76E6"/>
    <w:rsid w:val="00FB22E3"/>
    <w:rsid w:val="00FB2744"/>
    <w:rsid w:val="00FB4EAA"/>
    <w:rsid w:val="00FC07FA"/>
    <w:rsid w:val="00FC22D4"/>
    <w:rsid w:val="00FC525F"/>
    <w:rsid w:val="00FC57BF"/>
    <w:rsid w:val="00FC7615"/>
    <w:rsid w:val="00FD0422"/>
    <w:rsid w:val="00FE0EA8"/>
    <w:rsid w:val="00FE7232"/>
    <w:rsid w:val="00FF1793"/>
    <w:rsid w:val="00FF3E05"/>
    <w:rsid w:val="00FF79F1"/>
    <w:rsid w:val="00FF7AFA"/>
    <w:rsid w:val="01202EF6"/>
    <w:rsid w:val="018D26FD"/>
    <w:rsid w:val="01B7284A"/>
    <w:rsid w:val="01DA1E97"/>
    <w:rsid w:val="02A26DF3"/>
    <w:rsid w:val="02DF78C7"/>
    <w:rsid w:val="04601B31"/>
    <w:rsid w:val="046D0C42"/>
    <w:rsid w:val="04900B64"/>
    <w:rsid w:val="049D1400"/>
    <w:rsid w:val="04A65A78"/>
    <w:rsid w:val="05A03534"/>
    <w:rsid w:val="05EA6DF4"/>
    <w:rsid w:val="061A5458"/>
    <w:rsid w:val="065526EE"/>
    <w:rsid w:val="06A93B3C"/>
    <w:rsid w:val="06B84C89"/>
    <w:rsid w:val="07EC4737"/>
    <w:rsid w:val="098A0400"/>
    <w:rsid w:val="0A4B34AD"/>
    <w:rsid w:val="0B3C3D28"/>
    <w:rsid w:val="0B8134DD"/>
    <w:rsid w:val="0BA75363"/>
    <w:rsid w:val="0C186664"/>
    <w:rsid w:val="0D230F18"/>
    <w:rsid w:val="0DC65EDD"/>
    <w:rsid w:val="0DD028B8"/>
    <w:rsid w:val="0E27369E"/>
    <w:rsid w:val="0E303DCA"/>
    <w:rsid w:val="0E575B7E"/>
    <w:rsid w:val="0EB462C1"/>
    <w:rsid w:val="0EC056A4"/>
    <w:rsid w:val="10D4462A"/>
    <w:rsid w:val="1218203F"/>
    <w:rsid w:val="12A7194D"/>
    <w:rsid w:val="12B91B6C"/>
    <w:rsid w:val="139047A2"/>
    <w:rsid w:val="14621D45"/>
    <w:rsid w:val="1482171F"/>
    <w:rsid w:val="1552183C"/>
    <w:rsid w:val="156D3C91"/>
    <w:rsid w:val="15C022DE"/>
    <w:rsid w:val="161B5C91"/>
    <w:rsid w:val="16266039"/>
    <w:rsid w:val="165D6CB3"/>
    <w:rsid w:val="167C2319"/>
    <w:rsid w:val="171A405E"/>
    <w:rsid w:val="17562F0F"/>
    <w:rsid w:val="17AF6DA1"/>
    <w:rsid w:val="17F62C58"/>
    <w:rsid w:val="189228C5"/>
    <w:rsid w:val="18DD63AF"/>
    <w:rsid w:val="18E35C6E"/>
    <w:rsid w:val="18E45469"/>
    <w:rsid w:val="18EB4119"/>
    <w:rsid w:val="193C52D2"/>
    <w:rsid w:val="19482ED3"/>
    <w:rsid w:val="1A284F63"/>
    <w:rsid w:val="1AAB56E2"/>
    <w:rsid w:val="1B4E16B0"/>
    <w:rsid w:val="1BA53912"/>
    <w:rsid w:val="1CF260FD"/>
    <w:rsid w:val="1D4C33A9"/>
    <w:rsid w:val="1DF276AF"/>
    <w:rsid w:val="1DF63F26"/>
    <w:rsid w:val="1E032835"/>
    <w:rsid w:val="1E386E30"/>
    <w:rsid w:val="1EBD2B99"/>
    <w:rsid w:val="1F535A8F"/>
    <w:rsid w:val="1FCD2F03"/>
    <w:rsid w:val="20287DBA"/>
    <w:rsid w:val="21131C6B"/>
    <w:rsid w:val="216577DF"/>
    <w:rsid w:val="216C5CA2"/>
    <w:rsid w:val="22083CB5"/>
    <w:rsid w:val="22C93CF6"/>
    <w:rsid w:val="23D20B13"/>
    <w:rsid w:val="24637A04"/>
    <w:rsid w:val="24D726DF"/>
    <w:rsid w:val="24F44C86"/>
    <w:rsid w:val="24F45B13"/>
    <w:rsid w:val="25F83E54"/>
    <w:rsid w:val="270359E6"/>
    <w:rsid w:val="271570FE"/>
    <w:rsid w:val="28595263"/>
    <w:rsid w:val="28B22CD7"/>
    <w:rsid w:val="2964687E"/>
    <w:rsid w:val="2992761F"/>
    <w:rsid w:val="2A273408"/>
    <w:rsid w:val="2AD135BF"/>
    <w:rsid w:val="2B797C93"/>
    <w:rsid w:val="2BDC3D1C"/>
    <w:rsid w:val="2C770676"/>
    <w:rsid w:val="2CA971C8"/>
    <w:rsid w:val="2E4C1721"/>
    <w:rsid w:val="2E8D61FD"/>
    <w:rsid w:val="2E994EBF"/>
    <w:rsid w:val="2EEA0C1A"/>
    <w:rsid w:val="2F80248A"/>
    <w:rsid w:val="2FC635F1"/>
    <w:rsid w:val="303C22BE"/>
    <w:rsid w:val="315F06FF"/>
    <w:rsid w:val="348B0B80"/>
    <w:rsid w:val="358934C4"/>
    <w:rsid w:val="3687667C"/>
    <w:rsid w:val="369D3BA6"/>
    <w:rsid w:val="37387E37"/>
    <w:rsid w:val="37490E61"/>
    <w:rsid w:val="37981DD1"/>
    <w:rsid w:val="38930D09"/>
    <w:rsid w:val="389B2F84"/>
    <w:rsid w:val="3A7667C1"/>
    <w:rsid w:val="3B13350F"/>
    <w:rsid w:val="3BFB5E26"/>
    <w:rsid w:val="3C304AC5"/>
    <w:rsid w:val="3C5E28A9"/>
    <w:rsid w:val="3CFA74B4"/>
    <w:rsid w:val="3DB3135B"/>
    <w:rsid w:val="3E2D18E5"/>
    <w:rsid w:val="3E772758"/>
    <w:rsid w:val="3F185697"/>
    <w:rsid w:val="40606809"/>
    <w:rsid w:val="416F5968"/>
    <w:rsid w:val="418A5473"/>
    <w:rsid w:val="41F33FC2"/>
    <w:rsid w:val="42304C50"/>
    <w:rsid w:val="42A90D85"/>
    <w:rsid w:val="42ED2FE9"/>
    <w:rsid w:val="42FF0B8B"/>
    <w:rsid w:val="43EE3D99"/>
    <w:rsid w:val="44A678F3"/>
    <w:rsid w:val="44AC4331"/>
    <w:rsid w:val="4550785F"/>
    <w:rsid w:val="4593700A"/>
    <w:rsid w:val="465C7DFF"/>
    <w:rsid w:val="47A86DCB"/>
    <w:rsid w:val="48577CC6"/>
    <w:rsid w:val="485D476D"/>
    <w:rsid w:val="489E1AB5"/>
    <w:rsid w:val="48CA3B4E"/>
    <w:rsid w:val="4A44553C"/>
    <w:rsid w:val="4AED2497"/>
    <w:rsid w:val="4B38676C"/>
    <w:rsid w:val="4B8D35BB"/>
    <w:rsid w:val="4BD34D83"/>
    <w:rsid w:val="4D6D36A4"/>
    <w:rsid w:val="4DA747D3"/>
    <w:rsid w:val="4E7728E2"/>
    <w:rsid w:val="4E7E71EB"/>
    <w:rsid w:val="4F26CB03"/>
    <w:rsid w:val="509857B8"/>
    <w:rsid w:val="51BE6EE9"/>
    <w:rsid w:val="51F303BC"/>
    <w:rsid w:val="52390C5C"/>
    <w:rsid w:val="525A4B9B"/>
    <w:rsid w:val="53B14471"/>
    <w:rsid w:val="54090ABF"/>
    <w:rsid w:val="54847939"/>
    <w:rsid w:val="54EB149B"/>
    <w:rsid w:val="54FE4BE1"/>
    <w:rsid w:val="55252E66"/>
    <w:rsid w:val="56431446"/>
    <w:rsid w:val="57127A53"/>
    <w:rsid w:val="58A42FB1"/>
    <w:rsid w:val="58C975CD"/>
    <w:rsid w:val="5930613D"/>
    <w:rsid w:val="599175C6"/>
    <w:rsid w:val="59945B14"/>
    <w:rsid w:val="59DB7BE7"/>
    <w:rsid w:val="59E25AE9"/>
    <w:rsid w:val="59E60300"/>
    <w:rsid w:val="5B7D22F3"/>
    <w:rsid w:val="5B8A47EA"/>
    <w:rsid w:val="5BCA1CC1"/>
    <w:rsid w:val="5C2A1411"/>
    <w:rsid w:val="5C5E5132"/>
    <w:rsid w:val="5E6C4DAC"/>
    <w:rsid w:val="5ED50989"/>
    <w:rsid w:val="5F5444AB"/>
    <w:rsid w:val="5FA9269A"/>
    <w:rsid w:val="5FFB4D45"/>
    <w:rsid w:val="60ED0D50"/>
    <w:rsid w:val="61094D17"/>
    <w:rsid w:val="613328E7"/>
    <w:rsid w:val="61DC1A94"/>
    <w:rsid w:val="62487477"/>
    <w:rsid w:val="62BF6A82"/>
    <w:rsid w:val="63300F5E"/>
    <w:rsid w:val="63414027"/>
    <w:rsid w:val="63994563"/>
    <w:rsid w:val="63BB3B81"/>
    <w:rsid w:val="640D012F"/>
    <w:rsid w:val="655F34CA"/>
    <w:rsid w:val="65786990"/>
    <w:rsid w:val="66705A9C"/>
    <w:rsid w:val="6675251A"/>
    <w:rsid w:val="669C24AC"/>
    <w:rsid w:val="66D41C46"/>
    <w:rsid w:val="66EB531E"/>
    <w:rsid w:val="67203C2C"/>
    <w:rsid w:val="676C00D0"/>
    <w:rsid w:val="67BC0C6C"/>
    <w:rsid w:val="68356D57"/>
    <w:rsid w:val="689F6284"/>
    <w:rsid w:val="68DD7EA4"/>
    <w:rsid w:val="68EA74FF"/>
    <w:rsid w:val="694C640B"/>
    <w:rsid w:val="69E55F18"/>
    <w:rsid w:val="6A425E3C"/>
    <w:rsid w:val="6A4A7518"/>
    <w:rsid w:val="6B8808F9"/>
    <w:rsid w:val="6BE81CC7"/>
    <w:rsid w:val="6C671F90"/>
    <w:rsid w:val="6CEF77DA"/>
    <w:rsid w:val="6D013365"/>
    <w:rsid w:val="6D932647"/>
    <w:rsid w:val="6F1450ED"/>
    <w:rsid w:val="6F6BD74A"/>
    <w:rsid w:val="6F754FB2"/>
    <w:rsid w:val="707F13F5"/>
    <w:rsid w:val="70E40303"/>
    <w:rsid w:val="70FE6BE5"/>
    <w:rsid w:val="716468EA"/>
    <w:rsid w:val="719F3D45"/>
    <w:rsid w:val="72D43F47"/>
    <w:rsid w:val="7384361C"/>
    <w:rsid w:val="73F74A5C"/>
    <w:rsid w:val="74146EE2"/>
    <w:rsid w:val="74425197"/>
    <w:rsid w:val="74C45FF0"/>
    <w:rsid w:val="74D06143"/>
    <w:rsid w:val="764E11F1"/>
    <w:rsid w:val="76CC6D27"/>
    <w:rsid w:val="772DFA18"/>
    <w:rsid w:val="77D664DF"/>
    <w:rsid w:val="77FC0FFD"/>
    <w:rsid w:val="79C64DD8"/>
    <w:rsid w:val="7A344C95"/>
    <w:rsid w:val="7AC55E56"/>
    <w:rsid w:val="7B5178B1"/>
    <w:rsid w:val="7B897057"/>
    <w:rsid w:val="7BEF7A42"/>
    <w:rsid w:val="7C4C4863"/>
    <w:rsid w:val="7C51050D"/>
    <w:rsid w:val="7CEF7382"/>
    <w:rsid w:val="7E1C31BC"/>
    <w:rsid w:val="7E23264E"/>
    <w:rsid w:val="7EE0184A"/>
    <w:rsid w:val="7F3027A9"/>
    <w:rsid w:val="7F7E0614"/>
    <w:rsid w:val="7FC66237"/>
    <w:rsid w:val="AE8CC76E"/>
    <w:rsid w:val="EE7E828A"/>
    <w:rsid w:val="F6C65850"/>
    <w:rsid w:val="F71E306D"/>
    <w:rsid w:val="F7EBAFF4"/>
    <w:rsid w:val="FD7F67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qFormat="1"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qFormat="1" w:uiPriority="99" w:semiHidden="0"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autoRedefine/>
    <w:qFormat/>
    <w:uiPriority w:val="99"/>
    <w:pPr>
      <w:keepNext/>
      <w:keepLines/>
      <w:spacing w:before="340" w:after="330" w:line="578" w:lineRule="auto"/>
      <w:outlineLvl w:val="0"/>
    </w:pPr>
    <w:rPr>
      <w:rFonts w:cs="宋体"/>
      <w:b/>
      <w:bCs/>
      <w:kern w:val="44"/>
      <w:sz w:val="44"/>
      <w:szCs w:val="44"/>
    </w:rPr>
  </w:style>
  <w:style w:type="paragraph" w:styleId="2">
    <w:name w:val="heading 2"/>
    <w:basedOn w:val="1"/>
    <w:next w:val="1"/>
    <w:link w:val="34"/>
    <w:autoRedefine/>
    <w:qFormat/>
    <w:uiPriority w:val="99"/>
    <w:pPr>
      <w:keepNext/>
      <w:adjustRightInd w:val="0"/>
      <w:snapToGrid w:val="0"/>
      <w:spacing w:before="120" w:after="120" w:line="360" w:lineRule="auto"/>
      <w:jc w:val="center"/>
      <w:textAlignment w:val="baseline"/>
      <w:outlineLvl w:val="1"/>
    </w:pPr>
    <w:rPr>
      <w:rFonts w:ascii="仿宋_GB2312" w:hAnsi="Times New Roman" w:eastAsia="仿宋_GB2312" w:cs="仿宋_GB2312"/>
      <w:b/>
      <w:bCs/>
      <w:kern w:val="0"/>
      <w:sz w:val="36"/>
      <w:szCs w:val="36"/>
    </w:rPr>
  </w:style>
  <w:style w:type="paragraph" w:styleId="4">
    <w:name w:val="heading 3"/>
    <w:basedOn w:val="1"/>
    <w:next w:val="1"/>
    <w:link w:val="35"/>
    <w:autoRedefine/>
    <w:qFormat/>
    <w:uiPriority w:val="99"/>
    <w:pPr>
      <w:keepNext/>
      <w:keepLines/>
      <w:spacing w:before="260" w:after="260" w:line="360" w:lineRule="auto"/>
      <w:ind w:firstLine="602" w:firstLineChars="200"/>
      <w:outlineLvl w:val="2"/>
    </w:pPr>
    <w:rPr>
      <w:rFonts w:ascii="仿宋_GB2312" w:hAnsi="Times New Roman" w:eastAsia="仿宋_GB2312" w:cs="仿宋_GB2312"/>
      <w:b/>
      <w:bCs/>
      <w:sz w:val="30"/>
      <w:szCs w:val="30"/>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link w:val="78"/>
    <w:autoRedefine/>
    <w:qFormat/>
    <w:uiPriority w:val="0"/>
    <w:pPr>
      <w:ind w:firstLine="420"/>
    </w:pPr>
    <w:rPr>
      <w:rFonts w:ascii="Times New Roman" w:hAnsi="Times New Roman" w:cs="Times New Roman"/>
      <w:szCs w:val="20"/>
    </w:rPr>
  </w:style>
  <w:style w:type="paragraph" w:styleId="6">
    <w:name w:val="annotation text"/>
    <w:basedOn w:val="1"/>
    <w:autoRedefine/>
    <w:semiHidden/>
    <w:unhideWhenUsed/>
    <w:qFormat/>
    <w:uiPriority w:val="99"/>
    <w:pPr>
      <w:jc w:val="left"/>
    </w:pPr>
  </w:style>
  <w:style w:type="paragraph" w:styleId="7">
    <w:name w:val="Body Text"/>
    <w:basedOn w:val="1"/>
    <w:link w:val="37"/>
    <w:autoRedefine/>
    <w:qFormat/>
    <w:uiPriority w:val="99"/>
    <w:pPr>
      <w:tabs>
        <w:tab w:val="left" w:pos="208"/>
      </w:tabs>
      <w:spacing w:line="432" w:lineRule="auto"/>
    </w:pPr>
    <w:rPr>
      <w:rFonts w:ascii="仿宋_GB2312" w:eastAsia="仿宋_GB2312"/>
      <w:sz w:val="28"/>
    </w:rPr>
  </w:style>
  <w:style w:type="paragraph" w:styleId="8">
    <w:name w:val="Body Text Indent"/>
    <w:basedOn w:val="1"/>
    <w:next w:val="1"/>
    <w:autoRedefine/>
    <w:qFormat/>
    <w:uiPriority w:val="0"/>
    <w:pPr>
      <w:spacing w:after="120"/>
      <w:ind w:left="420" w:leftChars="200"/>
    </w:pPr>
  </w:style>
  <w:style w:type="paragraph" w:styleId="9">
    <w:name w:val="Block Text"/>
    <w:basedOn w:val="1"/>
    <w:autoRedefine/>
    <w:unhideWhenUsed/>
    <w:qFormat/>
    <w:uiPriority w:val="99"/>
    <w:pPr>
      <w:ind w:left="-718" w:leftChars="-342" w:right="-512" w:rightChars="-244" w:firstLine="560" w:firstLineChars="200"/>
    </w:pPr>
    <w:rPr>
      <w:sz w:val="28"/>
    </w:rPr>
  </w:style>
  <w:style w:type="paragraph" w:styleId="10">
    <w:name w:val="toc 3"/>
    <w:basedOn w:val="1"/>
    <w:next w:val="1"/>
    <w:autoRedefine/>
    <w:qFormat/>
    <w:uiPriority w:val="39"/>
    <w:pPr>
      <w:tabs>
        <w:tab w:val="right" w:leader="dot" w:pos="9060"/>
      </w:tabs>
      <w:ind w:left="1"/>
    </w:pPr>
    <w:rPr>
      <w:rFonts w:ascii="仿宋_GB2312" w:eastAsia="仿宋_GB2312" w:cs="仿宋_GB2312"/>
      <w:sz w:val="24"/>
      <w:szCs w:val="24"/>
    </w:rPr>
  </w:style>
  <w:style w:type="paragraph" w:styleId="11">
    <w:name w:val="Plain Text"/>
    <w:basedOn w:val="1"/>
    <w:next w:val="1"/>
    <w:link w:val="38"/>
    <w:autoRedefine/>
    <w:qFormat/>
    <w:uiPriority w:val="0"/>
    <w:rPr>
      <w:rFonts w:ascii="宋体" w:hAnsi="Courier New" w:cs="宋体"/>
    </w:rPr>
  </w:style>
  <w:style w:type="paragraph" w:styleId="12">
    <w:name w:val="Body Text Indent 2"/>
    <w:basedOn w:val="1"/>
    <w:link w:val="39"/>
    <w:autoRedefine/>
    <w:qFormat/>
    <w:uiPriority w:val="99"/>
    <w:pPr>
      <w:snapToGrid w:val="0"/>
      <w:spacing w:line="400" w:lineRule="exact"/>
      <w:ind w:firstLine="480"/>
    </w:pPr>
    <w:rPr>
      <w:rFonts w:ascii="Times New Roman" w:hAnsi="Times New Roman" w:cs="Times New Roman"/>
    </w:rPr>
  </w:style>
  <w:style w:type="paragraph" w:styleId="13">
    <w:name w:val="Balloon Text"/>
    <w:basedOn w:val="1"/>
    <w:link w:val="40"/>
    <w:autoRedefine/>
    <w:qFormat/>
    <w:uiPriority w:val="99"/>
    <w:rPr>
      <w:rFonts w:cs="宋体"/>
      <w:sz w:val="18"/>
      <w:szCs w:val="18"/>
    </w:rPr>
  </w:style>
  <w:style w:type="paragraph" w:styleId="14">
    <w:name w:val="footer"/>
    <w:basedOn w:val="1"/>
    <w:link w:val="4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15">
    <w:name w:val="header"/>
    <w:basedOn w:val="1"/>
    <w:link w:val="42"/>
    <w:autoRedefine/>
    <w:qFormat/>
    <w:uiPriority w:val="99"/>
    <w:pPr>
      <w:pBdr>
        <w:bottom w:val="single" w:color="auto" w:sz="6" w:space="1"/>
      </w:pBdr>
      <w:tabs>
        <w:tab w:val="center" w:pos="4153"/>
        <w:tab w:val="right" w:pos="8306"/>
      </w:tabs>
      <w:adjustRightInd w:val="0"/>
      <w:spacing w:line="240" w:lineRule="atLeast"/>
      <w:jc w:val="center"/>
    </w:pPr>
    <w:rPr>
      <w:rFonts w:ascii="Times New Roman" w:hAnsi="Times New Roman" w:cs="Times New Roman"/>
      <w:sz w:val="18"/>
      <w:szCs w:val="18"/>
    </w:rPr>
  </w:style>
  <w:style w:type="paragraph" w:styleId="16">
    <w:name w:val="toc 1"/>
    <w:basedOn w:val="1"/>
    <w:next w:val="1"/>
    <w:autoRedefine/>
    <w:qFormat/>
    <w:uiPriority w:val="39"/>
    <w:rPr>
      <w:rFonts w:cs="宋体"/>
      <w:sz w:val="24"/>
      <w:szCs w:val="22"/>
    </w:rPr>
  </w:style>
  <w:style w:type="paragraph" w:styleId="17">
    <w:name w:val="toc 6"/>
    <w:basedOn w:val="1"/>
    <w:next w:val="1"/>
    <w:autoRedefine/>
    <w:qFormat/>
    <w:locked/>
    <w:uiPriority w:val="0"/>
    <w:pPr>
      <w:ind w:left="1050"/>
      <w:jc w:val="left"/>
    </w:pPr>
    <w:rPr>
      <w:rFonts w:cs="Times New Roman"/>
      <w:sz w:val="18"/>
      <w:szCs w:val="18"/>
    </w:rPr>
  </w:style>
  <w:style w:type="paragraph" w:styleId="18">
    <w:name w:val="toc 2"/>
    <w:basedOn w:val="1"/>
    <w:next w:val="1"/>
    <w:autoRedefine/>
    <w:qFormat/>
    <w:uiPriority w:val="39"/>
    <w:pPr>
      <w:tabs>
        <w:tab w:val="right" w:leader="dot" w:pos="9060"/>
      </w:tabs>
      <w:spacing w:before="100" w:beforeAutospacing="1" w:line="360" w:lineRule="auto"/>
      <w:jc w:val="center"/>
    </w:pPr>
    <w:rPr>
      <w:sz w:val="24"/>
      <w:szCs w:val="24"/>
    </w:rPr>
  </w:style>
  <w:style w:type="paragraph" w:styleId="19">
    <w:name w:val="HTML Preformatted"/>
    <w:basedOn w:val="1"/>
    <w:link w:val="43"/>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2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autoRedefine/>
    <w:qFormat/>
    <w:locked/>
    <w:uiPriority w:val="0"/>
    <w:pPr>
      <w:widowControl/>
      <w:overflowPunct w:val="0"/>
      <w:autoSpaceDE w:val="0"/>
      <w:autoSpaceDN w:val="0"/>
      <w:adjustRightInd w:val="0"/>
      <w:jc w:val="center"/>
      <w:textAlignment w:val="baseline"/>
    </w:pPr>
    <w:rPr>
      <w:kern w:val="0"/>
      <w:sz w:val="24"/>
      <w:lang w:val="en-GB"/>
    </w:rPr>
  </w:style>
  <w:style w:type="paragraph" w:styleId="22">
    <w:name w:val="Body Text First Indent"/>
    <w:basedOn w:val="7"/>
    <w:next w:val="17"/>
    <w:link w:val="95"/>
    <w:autoRedefine/>
    <w:semiHidden/>
    <w:unhideWhenUsed/>
    <w:qFormat/>
    <w:uiPriority w:val="99"/>
    <w:pPr>
      <w:spacing w:after="120" w:line="240" w:lineRule="auto"/>
      <w:ind w:firstLine="420" w:firstLineChars="100"/>
    </w:pPr>
    <w:rPr>
      <w:rFonts w:ascii="Calibri" w:eastAsia="宋体"/>
      <w:sz w:val="21"/>
    </w:rPr>
  </w:style>
  <w:style w:type="paragraph" w:styleId="23">
    <w:name w:val="Body Text First Indent 2"/>
    <w:basedOn w:val="8"/>
    <w:next w:val="7"/>
    <w:link w:val="110"/>
    <w:autoRedefine/>
    <w:qFormat/>
    <w:uiPriority w:val="0"/>
    <w:pPr>
      <w:adjustRightInd w:val="0"/>
      <w:snapToGrid w:val="0"/>
      <w:spacing w:beforeLines="50" w:line="360" w:lineRule="auto"/>
      <w:ind w:firstLine="480" w:firstLineChars="200"/>
    </w:pPr>
    <w:rPr>
      <w:sz w:val="24"/>
      <w:szCs w:val="24"/>
      <w:lang w:val="zh-CN"/>
    </w:rPr>
  </w:style>
  <w:style w:type="table" w:styleId="25">
    <w:name w:val="Table Grid"/>
    <w:basedOn w:val="2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99"/>
    <w:rPr>
      <w:rFonts w:ascii="Times New Roman" w:hAnsi="Times New Roman" w:eastAsia="宋体" w:cs="Times New Roman"/>
    </w:rPr>
  </w:style>
  <w:style w:type="character" w:styleId="28">
    <w:name w:val="FollowedHyperlink"/>
    <w:basedOn w:val="26"/>
    <w:autoRedefine/>
    <w:semiHidden/>
    <w:unhideWhenUsed/>
    <w:qFormat/>
    <w:uiPriority w:val="99"/>
    <w:rPr>
      <w:color w:val="800080"/>
      <w:u w:val="single"/>
    </w:rPr>
  </w:style>
  <w:style w:type="character" w:styleId="29">
    <w:name w:val="Hyperlink"/>
    <w:basedOn w:val="26"/>
    <w:autoRedefine/>
    <w:qFormat/>
    <w:uiPriority w:val="99"/>
    <w:rPr>
      <w:rFonts w:ascii="Times New Roman" w:hAnsi="Times New Roman" w:eastAsia="宋体" w:cs="Times New Roman"/>
      <w:color w:val="0000FF"/>
      <w:u w:val="single"/>
    </w:rPr>
  </w:style>
  <w:style w:type="character" w:styleId="30">
    <w:name w:val="annotation reference"/>
    <w:basedOn w:val="26"/>
    <w:autoRedefine/>
    <w:semiHidden/>
    <w:unhideWhenUsed/>
    <w:qFormat/>
    <w:uiPriority w:val="99"/>
    <w:rPr>
      <w:sz w:val="21"/>
      <w:szCs w:val="21"/>
    </w:rPr>
  </w:style>
  <w:style w:type="paragraph" w:customStyle="1" w:styleId="31">
    <w:name w:val="正文1"/>
    <w:basedOn w:val="10"/>
    <w:next w:val="5"/>
    <w:autoRedefine/>
    <w:qFormat/>
    <w:uiPriority w:val="0"/>
    <w:pPr>
      <w:spacing w:line="360" w:lineRule="auto"/>
      <w:ind w:right="210" w:firstLine="410"/>
    </w:pPr>
    <w:rPr>
      <w:rFonts w:ascii="宋体" w:hAnsi="宋体"/>
      <w:sz w:val="18"/>
      <w:szCs w:val="20"/>
    </w:rPr>
  </w:style>
  <w:style w:type="paragraph" w:customStyle="1" w:styleId="3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Times New Roman"/>
      <w:b/>
      <w:bCs/>
      <w:kern w:val="0"/>
      <w:sz w:val="20"/>
      <w:szCs w:val="20"/>
    </w:rPr>
  </w:style>
  <w:style w:type="character" w:customStyle="1" w:styleId="33">
    <w:name w:val="标题 1 字符"/>
    <w:basedOn w:val="26"/>
    <w:link w:val="3"/>
    <w:autoRedefine/>
    <w:qFormat/>
    <w:locked/>
    <w:uiPriority w:val="99"/>
    <w:rPr>
      <w:rFonts w:ascii="Calibri" w:hAnsi="Calibri" w:cs="宋体"/>
      <w:b/>
      <w:bCs/>
      <w:kern w:val="44"/>
      <w:sz w:val="44"/>
      <w:szCs w:val="44"/>
    </w:rPr>
  </w:style>
  <w:style w:type="character" w:customStyle="1" w:styleId="34">
    <w:name w:val="标题 2 字符"/>
    <w:basedOn w:val="26"/>
    <w:link w:val="2"/>
    <w:autoRedefine/>
    <w:qFormat/>
    <w:locked/>
    <w:uiPriority w:val="99"/>
    <w:rPr>
      <w:rFonts w:ascii="Cambria" w:hAnsi="Cambria" w:eastAsia="宋体" w:cs="Times New Roman"/>
      <w:b/>
      <w:bCs/>
      <w:sz w:val="32"/>
      <w:szCs w:val="32"/>
    </w:rPr>
  </w:style>
  <w:style w:type="character" w:customStyle="1" w:styleId="35">
    <w:name w:val="标题 3 字符"/>
    <w:basedOn w:val="26"/>
    <w:link w:val="4"/>
    <w:autoRedefine/>
    <w:qFormat/>
    <w:locked/>
    <w:uiPriority w:val="99"/>
    <w:rPr>
      <w:rFonts w:ascii="Calibri" w:hAnsi="Calibri" w:cs="Calibri"/>
      <w:b/>
      <w:bCs/>
      <w:sz w:val="32"/>
      <w:szCs w:val="32"/>
    </w:rPr>
  </w:style>
  <w:style w:type="paragraph" w:customStyle="1" w:styleId="36">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37">
    <w:name w:val="正文文本 字符"/>
    <w:basedOn w:val="26"/>
    <w:link w:val="7"/>
    <w:autoRedefine/>
    <w:qFormat/>
    <w:locked/>
    <w:uiPriority w:val="99"/>
    <w:rPr>
      <w:rFonts w:ascii="Calibri" w:hAnsi="Calibri" w:cs="Calibri"/>
      <w:sz w:val="21"/>
      <w:szCs w:val="21"/>
    </w:rPr>
  </w:style>
  <w:style w:type="character" w:customStyle="1" w:styleId="38">
    <w:name w:val="纯文本 字符"/>
    <w:basedOn w:val="26"/>
    <w:link w:val="11"/>
    <w:autoRedefine/>
    <w:qFormat/>
    <w:locked/>
    <w:uiPriority w:val="0"/>
    <w:rPr>
      <w:rFonts w:ascii="宋体" w:hAnsi="Courier New" w:cs="Courier New"/>
      <w:sz w:val="21"/>
      <w:szCs w:val="21"/>
    </w:rPr>
  </w:style>
  <w:style w:type="character" w:customStyle="1" w:styleId="39">
    <w:name w:val="正文文本缩进 2 字符"/>
    <w:basedOn w:val="26"/>
    <w:link w:val="12"/>
    <w:autoRedefine/>
    <w:qFormat/>
    <w:locked/>
    <w:uiPriority w:val="99"/>
    <w:rPr>
      <w:rFonts w:ascii="Calibri" w:hAnsi="Calibri" w:cs="Calibri"/>
      <w:sz w:val="21"/>
      <w:szCs w:val="21"/>
    </w:rPr>
  </w:style>
  <w:style w:type="character" w:customStyle="1" w:styleId="40">
    <w:name w:val="批注框文本 字符"/>
    <w:basedOn w:val="26"/>
    <w:link w:val="13"/>
    <w:autoRedefine/>
    <w:qFormat/>
    <w:locked/>
    <w:uiPriority w:val="99"/>
    <w:rPr>
      <w:rFonts w:ascii="Calibri" w:hAnsi="Calibri" w:cs="宋体"/>
      <w:kern w:val="2"/>
      <w:sz w:val="18"/>
      <w:szCs w:val="18"/>
    </w:rPr>
  </w:style>
  <w:style w:type="character" w:customStyle="1" w:styleId="41">
    <w:name w:val="页脚 字符"/>
    <w:basedOn w:val="26"/>
    <w:link w:val="14"/>
    <w:autoRedefine/>
    <w:qFormat/>
    <w:locked/>
    <w:uiPriority w:val="0"/>
    <w:rPr>
      <w:rFonts w:ascii="Calibri" w:hAnsi="Calibri" w:cs="Calibri"/>
      <w:sz w:val="18"/>
      <w:szCs w:val="18"/>
    </w:rPr>
  </w:style>
  <w:style w:type="character" w:customStyle="1" w:styleId="42">
    <w:name w:val="页眉 字符"/>
    <w:basedOn w:val="26"/>
    <w:link w:val="15"/>
    <w:autoRedefine/>
    <w:qFormat/>
    <w:locked/>
    <w:uiPriority w:val="99"/>
    <w:rPr>
      <w:rFonts w:ascii="Calibri" w:hAnsi="Calibri" w:cs="Calibri"/>
      <w:sz w:val="18"/>
      <w:szCs w:val="18"/>
    </w:rPr>
  </w:style>
  <w:style w:type="character" w:customStyle="1" w:styleId="43">
    <w:name w:val="HTML 预设格式 字符"/>
    <w:basedOn w:val="26"/>
    <w:link w:val="19"/>
    <w:autoRedefine/>
    <w:semiHidden/>
    <w:qFormat/>
    <w:locked/>
    <w:uiPriority w:val="99"/>
    <w:rPr>
      <w:rFonts w:ascii="Courier New" w:hAnsi="Courier New" w:cs="Courier New"/>
      <w:sz w:val="20"/>
      <w:szCs w:val="20"/>
    </w:rPr>
  </w:style>
  <w:style w:type="paragraph" w:customStyle="1" w:styleId="44">
    <w:name w:val="普通(网站)_0"/>
    <w:basedOn w:val="45"/>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正文_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Char_0"/>
    <w:basedOn w:val="45"/>
    <w:autoRedefine/>
    <w:qFormat/>
    <w:uiPriority w:val="99"/>
    <w:rPr>
      <w:rFonts w:ascii="Tahoma" w:hAnsi="Tahoma" w:cs="Tahoma"/>
      <w:sz w:val="24"/>
      <w:szCs w:val="24"/>
    </w:rPr>
  </w:style>
  <w:style w:type="paragraph" w:customStyle="1" w:styleId="47">
    <w:name w:val="正文_1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
    <w:name w:val="纯文本_0_0"/>
    <w:basedOn w:val="47"/>
    <w:autoRedefine/>
    <w:qFormat/>
    <w:uiPriority w:val="99"/>
    <w:rPr>
      <w:rFonts w:ascii="宋体" w:hAnsi="Courier New" w:cs="宋体"/>
    </w:rPr>
  </w:style>
  <w:style w:type="paragraph" w:customStyle="1" w:styleId="49">
    <w:name w:val="正文_8_0_0"/>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50">
    <w:name w:val="正文_10_0"/>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51">
    <w:name w:val="纯文本_0"/>
    <w:basedOn w:val="52"/>
    <w:autoRedefine/>
    <w:qFormat/>
    <w:uiPriority w:val="99"/>
    <w:rPr>
      <w:rFonts w:ascii="宋体" w:hAnsi="Courier New" w:cs="宋体"/>
      <w:kern w:val="0"/>
      <w:sz w:val="20"/>
      <w:szCs w:val="20"/>
    </w:rPr>
  </w:style>
  <w:style w:type="paragraph" w:customStyle="1" w:styleId="52">
    <w:name w:val="正文_0_0"/>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53">
    <w:name w:val="纯文本_1"/>
    <w:basedOn w:val="54"/>
    <w:autoRedefine/>
    <w:qFormat/>
    <w:uiPriority w:val="99"/>
    <w:rPr>
      <w:rFonts w:ascii="宋体" w:hAnsi="Courier New" w:cs="宋体"/>
    </w:rPr>
  </w:style>
  <w:style w:type="paragraph" w:customStyle="1" w:styleId="54">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纯文本_3"/>
    <w:basedOn w:val="55"/>
    <w:autoRedefine/>
    <w:qFormat/>
    <w:uiPriority w:val="99"/>
    <w:rPr>
      <w:rFonts w:ascii="宋体" w:hAnsi="Courier New" w:cs="宋体"/>
    </w:rPr>
  </w:style>
  <w:style w:type="paragraph" w:customStyle="1" w:styleId="57">
    <w:name w:val="正文_2"/>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58">
    <w:name w:val="纯文本_4_0"/>
    <w:basedOn w:val="59"/>
    <w:autoRedefine/>
    <w:qFormat/>
    <w:uiPriority w:val="99"/>
    <w:rPr>
      <w:rFonts w:ascii="宋体" w:hAnsi="Courier New" w:cs="宋体"/>
    </w:rPr>
  </w:style>
  <w:style w:type="paragraph" w:customStyle="1" w:styleId="59">
    <w:name w:val="正文_9"/>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0">
    <w:name w:val="正文_2_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正文_8"/>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3">
    <w:name w:val="正文_2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4">
    <w:name w:val="正文_8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5">
    <w:name w:val="纯文本_5_0"/>
    <w:basedOn w:val="66"/>
    <w:autoRedefine/>
    <w:qFormat/>
    <w:uiPriority w:val="99"/>
    <w:rPr>
      <w:rFonts w:ascii="宋体" w:hAnsi="Courier New" w:cs="宋体"/>
    </w:rPr>
  </w:style>
  <w:style w:type="paragraph" w:customStyle="1" w:styleId="66">
    <w:name w:val="正文_1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普通(网站)_0_0"/>
    <w:basedOn w:val="68"/>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68">
    <w:name w:val="正文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9">
    <w:name w:val="正文_1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0">
    <w:name w:val="纯文本_4_3"/>
    <w:basedOn w:val="71"/>
    <w:autoRedefine/>
    <w:qFormat/>
    <w:uiPriority w:val="99"/>
    <w:rPr>
      <w:rFonts w:ascii="宋体" w:hAnsi="Courier New" w:cs="宋体"/>
    </w:rPr>
  </w:style>
  <w:style w:type="paragraph" w:customStyle="1" w:styleId="71">
    <w:name w:val="正文_1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正文_15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正文_18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Normal_21"/>
    <w:autoRedefine/>
    <w:qFormat/>
    <w:uiPriority w:val="99"/>
    <w:rPr>
      <w:rFonts w:ascii="黑体" w:hAnsi="黑体" w:eastAsia="黑体" w:cs="黑体"/>
      <w:b/>
      <w:bCs/>
      <w:sz w:val="32"/>
      <w:szCs w:val="32"/>
      <w:lang w:val="en-US" w:eastAsia="zh-CN" w:bidi="ar-SA"/>
    </w:rPr>
  </w:style>
  <w:style w:type="paragraph" w:customStyle="1" w:styleId="76">
    <w:name w:val="TOC Heading_95695ab8-03ed-4174-a3e0-26046f689f73"/>
    <w:basedOn w:val="3"/>
    <w:next w:val="1"/>
    <w:autoRedefine/>
    <w:qFormat/>
    <w:uiPriority w:val="99"/>
    <w:pPr>
      <w:widowControl/>
      <w:spacing w:before="240" w:after="0" w:line="259" w:lineRule="auto"/>
      <w:jc w:val="left"/>
      <w:outlineLvl w:val="9"/>
    </w:pPr>
    <w:rPr>
      <w:rFonts w:ascii="Cambria" w:hAnsi="Cambria"/>
      <w:b w:val="0"/>
      <w:bCs w:val="0"/>
      <w:color w:val="366091"/>
      <w:kern w:val="0"/>
      <w:sz w:val="32"/>
      <w:szCs w:val="32"/>
    </w:rPr>
  </w:style>
  <w:style w:type="paragraph" w:styleId="77">
    <w:name w:val="List Paragraph"/>
    <w:basedOn w:val="1"/>
    <w:autoRedefine/>
    <w:qFormat/>
    <w:uiPriority w:val="99"/>
    <w:pPr>
      <w:ind w:firstLine="420" w:firstLineChars="200"/>
    </w:pPr>
  </w:style>
  <w:style w:type="character" w:customStyle="1" w:styleId="78">
    <w:name w:val="正文缩进 字符"/>
    <w:link w:val="5"/>
    <w:autoRedefine/>
    <w:qFormat/>
    <w:locked/>
    <w:uiPriority w:val="0"/>
    <w:rPr>
      <w:rFonts w:ascii="Times New Roman" w:hAnsi="Times New Roman"/>
      <w:kern w:val="2"/>
      <w:sz w:val="21"/>
    </w:rPr>
  </w:style>
  <w:style w:type="paragraph" w:customStyle="1" w:styleId="79">
    <w:name w:val="Normal_22"/>
    <w:autoRedefine/>
    <w:qFormat/>
    <w:uiPriority w:val="99"/>
    <w:pPr>
      <w:widowControl w:val="0"/>
      <w:jc w:val="both"/>
    </w:pPr>
    <w:rPr>
      <w:rFonts w:ascii="Times New Roman" w:hAnsi="Times New Roman" w:eastAsia="宋体" w:cs="Times New Roman"/>
      <w:lang w:val="en-US" w:eastAsia="zh-CN" w:bidi="ar-SA"/>
    </w:rPr>
  </w:style>
  <w:style w:type="paragraph" w:customStyle="1" w:styleId="80">
    <w:name w:val="[Normal]"/>
    <w:autoRedefine/>
    <w:qFormat/>
    <w:uiPriority w:val="0"/>
    <w:rPr>
      <w:rFonts w:ascii="宋体" w:hAnsi="宋体" w:eastAsia="宋体" w:cs="Times New Roman"/>
      <w:sz w:val="24"/>
      <w:szCs w:val="22"/>
      <w:lang w:val="zh-CN" w:eastAsia="zh-CN" w:bidi="ar-SA"/>
    </w:rPr>
  </w:style>
  <w:style w:type="character" w:customStyle="1" w:styleId="81">
    <w:name w:val="font31"/>
    <w:basedOn w:val="26"/>
    <w:autoRedefine/>
    <w:qFormat/>
    <w:uiPriority w:val="0"/>
    <w:rPr>
      <w:rFonts w:hint="eastAsia" w:ascii="宋体" w:hAnsi="宋体" w:eastAsia="宋体" w:cs="宋体"/>
      <w:color w:val="000000"/>
      <w:sz w:val="20"/>
      <w:szCs w:val="20"/>
      <w:u w:val="none"/>
    </w:rPr>
  </w:style>
  <w:style w:type="character" w:customStyle="1" w:styleId="82">
    <w:name w:val="font11"/>
    <w:basedOn w:val="26"/>
    <w:autoRedefine/>
    <w:qFormat/>
    <w:uiPriority w:val="0"/>
    <w:rPr>
      <w:rFonts w:hint="eastAsia" w:ascii="宋体" w:hAnsi="宋体" w:eastAsia="宋体" w:cs="宋体"/>
      <w:color w:val="000000"/>
      <w:sz w:val="20"/>
      <w:szCs w:val="20"/>
      <w:u w:val="none"/>
    </w:rPr>
  </w:style>
  <w:style w:type="character" w:customStyle="1" w:styleId="83">
    <w:name w:val="font41"/>
    <w:basedOn w:val="26"/>
    <w:autoRedefine/>
    <w:qFormat/>
    <w:uiPriority w:val="0"/>
    <w:rPr>
      <w:rFonts w:ascii="Calibri" w:hAnsi="Calibri" w:cs="Calibri"/>
      <w:color w:val="000000"/>
      <w:sz w:val="20"/>
      <w:szCs w:val="20"/>
      <w:u w:val="none"/>
    </w:rPr>
  </w:style>
  <w:style w:type="paragraph" w:customStyle="1" w:styleId="84">
    <w:name w:val="xl30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85">
    <w:name w:val="xl30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86">
    <w:name w:val="xl30217"/>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87">
    <w:name w:val="xl30218"/>
    <w:basedOn w:val="1"/>
    <w:autoRedefine/>
    <w:qFormat/>
    <w:uiPriority w:val="0"/>
    <w:pPr>
      <w:widowControl/>
      <w:spacing w:before="100" w:beforeAutospacing="1" w:after="100" w:afterAutospacing="1"/>
      <w:jc w:val="center"/>
    </w:pPr>
    <w:rPr>
      <w:rFonts w:ascii="宋体" w:hAnsi="宋体" w:cs="宋体"/>
      <w:kern w:val="0"/>
    </w:rPr>
  </w:style>
  <w:style w:type="paragraph" w:customStyle="1" w:styleId="88">
    <w:name w:val="xl30219"/>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89">
    <w:name w:val="xl30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90">
    <w:name w:val="xl302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91">
    <w:name w:val="xl30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宋体"/>
      <w:kern w:val="0"/>
    </w:rPr>
  </w:style>
  <w:style w:type="paragraph" w:customStyle="1" w:styleId="92">
    <w:name w:val="xl302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93">
    <w:name w:val="xl302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rPr>
  </w:style>
  <w:style w:type="character" w:customStyle="1" w:styleId="94">
    <w:name w:val="bookmark-item"/>
    <w:basedOn w:val="26"/>
    <w:autoRedefine/>
    <w:qFormat/>
    <w:uiPriority w:val="0"/>
  </w:style>
  <w:style w:type="character" w:customStyle="1" w:styleId="95">
    <w:name w:val="正文文本首行缩进 字符"/>
    <w:basedOn w:val="37"/>
    <w:link w:val="22"/>
    <w:autoRedefine/>
    <w:semiHidden/>
    <w:qFormat/>
    <w:uiPriority w:val="99"/>
    <w:rPr>
      <w:rFonts w:ascii="Calibri" w:hAnsi="Calibri" w:cs="Calibri"/>
      <w:kern w:val="2"/>
      <w:sz w:val="21"/>
      <w:szCs w:val="21"/>
    </w:rPr>
  </w:style>
  <w:style w:type="paragraph" w:customStyle="1" w:styleId="96">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7">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character" w:customStyle="1" w:styleId="98">
    <w:name w:val="font51"/>
    <w:basedOn w:val="26"/>
    <w:autoRedefine/>
    <w:qFormat/>
    <w:uiPriority w:val="0"/>
    <w:rPr>
      <w:rFonts w:hint="eastAsia" w:ascii="宋体" w:hAnsi="宋体" w:eastAsia="宋体" w:cs="宋体"/>
      <w:color w:val="000000"/>
      <w:sz w:val="20"/>
      <w:szCs w:val="20"/>
      <w:u w:val="none"/>
    </w:rPr>
  </w:style>
  <w:style w:type="character" w:customStyle="1" w:styleId="99">
    <w:name w:val="font61"/>
    <w:basedOn w:val="26"/>
    <w:autoRedefine/>
    <w:qFormat/>
    <w:uiPriority w:val="0"/>
    <w:rPr>
      <w:rFonts w:ascii="Arial" w:hAnsi="Arial" w:cs="Arial"/>
      <w:color w:val="000000"/>
      <w:sz w:val="20"/>
      <w:szCs w:val="20"/>
      <w:u w:val="none"/>
    </w:rPr>
  </w:style>
  <w:style w:type="character" w:customStyle="1" w:styleId="100">
    <w:name w:val="font81"/>
    <w:basedOn w:val="26"/>
    <w:autoRedefine/>
    <w:qFormat/>
    <w:uiPriority w:val="0"/>
    <w:rPr>
      <w:rFonts w:ascii="Arial" w:hAnsi="Arial" w:cs="Arial"/>
      <w:color w:val="000000"/>
      <w:sz w:val="20"/>
      <w:szCs w:val="20"/>
      <w:u w:val="none"/>
    </w:rPr>
  </w:style>
  <w:style w:type="character" w:customStyle="1" w:styleId="101">
    <w:name w:val="font21"/>
    <w:basedOn w:val="26"/>
    <w:autoRedefine/>
    <w:qFormat/>
    <w:uiPriority w:val="0"/>
    <w:rPr>
      <w:rFonts w:hint="eastAsia" w:ascii="宋体" w:hAnsi="宋体" w:eastAsia="宋体" w:cs="宋体"/>
      <w:color w:val="000000"/>
      <w:sz w:val="20"/>
      <w:szCs w:val="20"/>
      <w:u w:val="none"/>
    </w:rPr>
  </w:style>
  <w:style w:type="paragraph" w:customStyle="1" w:styleId="102">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03">
    <w:name w:val="font151"/>
    <w:basedOn w:val="26"/>
    <w:autoRedefine/>
    <w:qFormat/>
    <w:uiPriority w:val="0"/>
    <w:rPr>
      <w:rFonts w:hint="eastAsia" w:ascii="宋体" w:hAnsi="宋体" w:eastAsia="宋体" w:cs="宋体"/>
      <w:color w:val="FF0000"/>
      <w:sz w:val="20"/>
      <w:szCs w:val="20"/>
      <w:u w:val="none"/>
    </w:rPr>
  </w:style>
  <w:style w:type="character" w:customStyle="1" w:styleId="104">
    <w:name w:val="font161"/>
    <w:basedOn w:val="26"/>
    <w:autoRedefine/>
    <w:qFormat/>
    <w:uiPriority w:val="0"/>
    <w:rPr>
      <w:rFonts w:hint="eastAsia" w:ascii="宋体" w:hAnsi="宋体" w:eastAsia="宋体" w:cs="宋体"/>
      <w:color w:val="000000"/>
      <w:sz w:val="22"/>
      <w:szCs w:val="22"/>
      <w:u w:val="none"/>
    </w:rPr>
  </w:style>
  <w:style w:type="character" w:customStyle="1" w:styleId="105">
    <w:name w:val="NormalCharacter"/>
    <w:autoRedefine/>
    <w:qFormat/>
    <w:uiPriority w:val="0"/>
    <w:rPr>
      <w:rFonts w:ascii="Calibri" w:hAnsi="Calibri" w:eastAsia="宋体" w:cs="Calibri"/>
      <w:kern w:val="2"/>
      <w:sz w:val="21"/>
      <w:szCs w:val="21"/>
      <w:lang w:val="en-US" w:eastAsia="zh-CN" w:bidi="ar-SA"/>
    </w:rPr>
  </w:style>
  <w:style w:type="paragraph" w:customStyle="1" w:styleId="106">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paragraph" w:customStyle="1" w:styleId="107">
    <w:name w:val="正文文本首行缩进 21"/>
    <w:basedOn w:val="1"/>
    <w:autoRedefine/>
    <w:qFormat/>
    <w:uiPriority w:val="0"/>
    <w:pPr>
      <w:spacing w:after="120"/>
      <w:ind w:left="420" w:leftChars="200" w:firstLine="420"/>
    </w:pPr>
    <w:rPr>
      <w:rFonts w:ascii="Times New Roman" w:hAnsi="Times New Roman" w:cs="宋体"/>
      <w:color w:val="000000"/>
    </w:rPr>
  </w:style>
  <w:style w:type="paragraph" w:customStyle="1" w:styleId="108">
    <w:name w:val="纯文本1"/>
    <w:basedOn w:val="1"/>
    <w:autoRedefine/>
    <w:qFormat/>
    <w:uiPriority w:val="0"/>
    <w:rPr>
      <w:rFonts w:ascii="宋体" w:hAnsi="Courier New"/>
      <w:szCs w:val="20"/>
    </w:rPr>
  </w:style>
  <w:style w:type="table" w:customStyle="1" w:styleId="109">
    <w:name w:val="Table Normal"/>
    <w:autoRedefine/>
    <w:semiHidden/>
    <w:unhideWhenUsed/>
    <w:qFormat/>
    <w:uiPriority w:val="0"/>
    <w:tblPr>
      <w:tblCellMar>
        <w:top w:w="0" w:type="dxa"/>
        <w:left w:w="0" w:type="dxa"/>
        <w:bottom w:w="0" w:type="dxa"/>
        <w:right w:w="0" w:type="dxa"/>
      </w:tblCellMar>
    </w:tblPr>
  </w:style>
  <w:style w:type="character" w:customStyle="1" w:styleId="110">
    <w:name w:val="正文文本首行缩进 2 字符"/>
    <w:basedOn w:val="26"/>
    <w:link w:val="23"/>
    <w:autoRedefine/>
    <w:qFormat/>
    <w:uiPriority w:val="0"/>
    <w:rPr>
      <w:rFonts w:ascii="Calibri" w:hAnsi="Calibri" w:cs="Calibri"/>
      <w:kern w:val="2"/>
      <w:sz w:val="24"/>
      <w:szCs w:val="24"/>
      <w:lang w:val="zh-CN"/>
    </w:rPr>
  </w:style>
  <w:style w:type="paragraph" w:customStyle="1" w:styleId="111">
    <w:name w:val="Revision"/>
    <w:autoRedefine/>
    <w:hidden/>
    <w:unhideWhenUsed/>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5332</Words>
  <Characters>30397</Characters>
  <Lines>253</Lines>
  <Paragraphs>71</Paragraphs>
  <TotalTime>42</TotalTime>
  <ScaleCrop>false</ScaleCrop>
  <LinksUpToDate>false</LinksUpToDate>
  <CharactersWithSpaces>35658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2020-01-19T18:34:00Z</dcterms:created>
  <dc:creator>Administrator</dc:creator>
  <cp:lastModifiedBy>李莲</cp:lastModifiedBy>
  <cp:lastPrinted>2019-06-17T11:32:00Z</cp:lastPrinted>
  <dcterms:modified xsi:type="dcterms:W3CDTF">2024-03-12T08:26:23Z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94D06E9BFEA54F43A144E465C787592A_13</vt:lpwstr>
  </property>
</Properties>
</file>