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方正魏碑_GBK" w:eastAsia="方正魏碑_GBK"/>
          <w:sz w:val="44"/>
          <w:szCs w:val="44"/>
        </w:rPr>
      </w:pPr>
      <w:r>
        <w:rPr>
          <w:rFonts w:hint="eastAsia" w:ascii="方正魏碑_GBK" w:eastAsia="方正魏碑_GBK"/>
          <w:sz w:val="44"/>
          <w:szCs w:val="44"/>
          <w:lang w:val="en-US" w:eastAsia="zh-CN"/>
        </w:rPr>
        <w:t>青田县东堡山华侨文化旅游项目二期地块边坡工程开挖砂石料</w:t>
      </w:r>
      <w:r>
        <w:rPr>
          <w:rFonts w:hint="eastAsia" w:ascii="方正魏碑_GBK" w:eastAsia="方正魏碑_GBK"/>
          <w:sz w:val="44"/>
          <w:szCs w:val="44"/>
          <w:lang w:eastAsia="zh-CN"/>
        </w:rPr>
        <w:t>拍卖</w:t>
      </w:r>
      <w:r>
        <w:rPr>
          <w:rFonts w:hint="eastAsia" w:ascii="方正魏碑_GBK" w:eastAsia="方正魏碑_GBK"/>
          <w:sz w:val="44"/>
          <w:szCs w:val="44"/>
        </w:rPr>
        <w:t>文件</w:t>
      </w:r>
    </w:p>
    <w:p>
      <w:pPr>
        <w:jc w:val="center"/>
        <w:rPr>
          <w:rFonts w:hint="eastAsia" w:ascii="方正魏碑_GBK" w:eastAsia="方正魏碑_GBK"/>
          <w:sz w:val="72"/>
          <w:szCs w:val="72"/>
        </w:rPr>
      </w:pPr>
    </w:p>
    <w:p>
      <w:pPr>
        <w:jc w:val="center"/>
        <w:rPr>
          <w:rFonts w:hint="eastAsia" w:ascii="方正魏碑_GBK" w:eastAsia="方正魏碑_GBK"/>
          <w:sz w:val="28"/>
          <w:szCs w:val="28"/>
        </w:rPr>
      </w:pPr>
    </w:p>
    <w:p>
      <w:pPr>
        <w:jc w:val="center"/>
        <w:rPr>
          <w:rFonts w:hint="eastAsia" w:ascii="方正魏碑_GBK" w:eastAsia="方正魏碑_GBK"/>
          <w:sz w:val="28"/>
          <w:szCs w:val="28"/>
        </w:rPr>
      </w:pPr>
    </w:p>
    <w:tbl>
      <w:tblPr>
        <w:tblStyle w:val="11"/>
        <w:tblW w:w="0" w:type="auto"/>
        <w:jc w:val="center"/>
        <w:tblLayout w:type="fixed"/>
        <w:tblCellMar>
          <w:top w:w="0" w:type="dxa"/>
          <w:left w:w="108" w:type="dxa"/>
          <w:bottom w:w="0" w:type="dxa"/>
          <w:right w:w="108" w:type="dxa"/>
        </w:tblCellMar>
      </w:tblPr>
      <w:tblGrid>
        <w:gridCol w:w="2250"/>
        <w:gridCol w:w="7201"/>
      </w:tblGrid>
      <w:tr>
        <w:tblPrEx>
          <w:tblCellMar>
            <w:top w:w="0" w:type="dxa"/>
            <w:left w:w="108" w:type="dxa"/>
            <w:bottom w:w="0" w:type="dxa"/>
            <w:right w:w="108" w:type="dxa"/>
          </w:tblCellMar>
        </w:tblPrEx>
        <w:trPr>
          <w:trHeight w:val="1065" w:hRule="atLeast"/>
          <w:jc w:val="center"/>
        </w:trPr>
        <w:tc>
          <w:tcPr>
            <w:tcW w:w="2250" w:type="dxa"/>
            <w:noWrap w:val="0"/>
            <w:vAlign w:val="center"/>
          </w:tcPr>
          <w:p>
            <w:pPr>
              <w:spacing w:line="600" w:lineRule="exact"/>
              <w:jc w:val="distribute"/>
              <w:rPr>
                <w:rFonts w:hint="eastAsia" w:ascii="仿宋_GB2312" w:hAnsi="宋体" w:eastAsia="仿宋_GB2312"/>
                <w:b/>
                <w:sz w:val="32"/>
                <w:szCs w:val="32"/>
              </w:rPr>
            </w:pPr>
            <w:r>
              <w:rPr>
                <w:rFonts w:hint="eastAsia" w:ascii="仿宋_GB2312" w:hAnsi="宋体" w:eastAsia="仿宋_GB2312"/>
                <w:b/>
                <w:sz w:val="32"/>
                <w:szCs w:val="32"/>
              </w:rPr>
              <w:t>项目名称：</w:t>
            </w:r>
          </w:p>
        </w:tc>
        <w:tc>
          <w:tcPr>
            <w:tcW w:w="7201" w:type="dxa"/>
            <w:noWrap w:val="0"/>
            <w:vAlign w:val="center"/>
          </w:tcPr>
          <w:p>
            <w:pPr>
              <w:spacing w:line="600" w:lineRule="exact"/>
              <w:rPr>
                <w:rFonts w:hint="default" w:ascii="仿宋_GB2312" w:hAnsi="宋体" w:eastAsia="仿宋_GB2312"/>
                <w:sz w:val="32"/>
                <w:szCs w:val="32"/>
                <w:u w:val="single"/>
                <w:lang w:val="en-US"/>
              </w:rPr>
            </w:pPr>
            <w:r>
              <w:rPr>
                <w:rFonts w:hint="eastAsia" w:ascii="方正魏碑_GBK" w:eastAsia="方正魏碑_GBK"/>
                <w:sz w:val="32"/>
                <w:szCs w:val="32"/>
                <w:u w:val="single"/>
                <w:lang w:val="en-US" w:eastAsia="zh-CN"/>
              </w:rPr>
              <w:t>青田县东堡山华侨文化旅游项目二期地块边坡工程开挖</w:t>
            </w:r>
            <w:r>
              <w:rPr>
                <w:rFonts w:hint="eastAsia" w:ascii="方正魏碑_GBK" w:eastAsia="方正魏碑_GBK"/>
                <w:sz w:val="32"/>
                <w:szCs w:val="32"/>
                <w:u w:val="single"/>
                <w:lang w:eastAsia="zh-CN"/>
              </w:rPr>
              <w:t>砂石料</w:t>
            </w:r>
            <w:r>
              <w:rPr>
                <w:rFonts w:hint="eastAsia" w:ascii="方正魏碑_GBK" w:eastAsia="方正魏碑_GBK"/>
                <w:sz w:val="32"/>
                <w:szCs w:val="32"/>
                <w:u w:val="single"/>
                <w:lang w:val="en-US" w:eastAsia="zh-CN"/>
              </w:rPr>
              <w:t>项目</w:t>
            </w:r>
          </w:p>
        </w:tc>
      </w:tr>
      <w:tr>
        <w:tblPrEx>
          <w:tblCellMar>
            <w:top w:w="0" w:type="dxa"/>
            <w:left w:w="108" w:type="dxa"/>
            <w:bottom w:w="0" w:type="dxa"/>
            <w:right w:w="108" w:type="dxa"/>
          </w:tblCellMar>
        </w:tblPrEx>
        <w:trPr>
          <w:trHeight w:val="1365" w:hRule="atLeast"/>
          <w:jc w:val="center"/>
        </w:trPr>
        <w:tc>
          <w:tcPr>
            <w:tcW w:w="2250" w:type="dxa"/>
            <w:noWrap w:val="0"/>
            <w:vAlign w:val="center"/>
          </w:tcPr>
          <w:p>
            <w:pPr>
              <w:spacing w:line="600" w:lineRule="exact"/>
              <w:jc w:val="distribute"/>
              <w:rPr>
                <w:rFonts w:hint="eastAsia" w:ascii="仿宋_GB2312" w:hAnsi="宋体" w:eastAsia="仿宋_GB2312"/>
                <w:b/>
                <w:sz w:val="32"/>
                <w:szCs w:val="32"/>
              </w:rPr>
            </w:pPr>
            <w:r>
              <w:rPr>
                <w:rFonts w:hint="eastAsia" w:ascii="仿宋_GB2312" w:hAnsi="宋体" w:eastAsia="仿宋_GB2312"/>
                <w:b/>
                <w:sz w:val="32"/>
                <w:szCs w:val="32"/>
              </w:rPr>
              <w:t>委 托 人：</w:t>
            </w:r>
          </w:p>
        </w:tc>
        <w:tc>
          <w:tcPr>
            <w:tcW w:w="7201" w:type="dxa"/>
            <w:noWrap w:val="0"/>
            <w:vAlign w:val="center"/>
          </w:tcPr>
          <w:p>
            <w:pPr>
              <w:spacing w:line="500" w:lineRule="exact"/>
              <w:rPr>
                <w:rFonts w:hint="default" w:ascii="仿宋_GB2312" w:hAnsi="宋体" w:eastAsia="仿宋_GB2312"/>
                <w:sz w:val="32"/>
                <w:szCs w:val="32"/>
                <w:u w:val="single"/>
                <w:lang w:val="en-US" w:eastAsia="zh-CN"/>
              </w:rPr>
            </w:pPr>
            <w:r>
              <w:rPr>
                <w:rFonts w:hint="eastAsia" w:ascii="方正魏碑_GBK" w:eastAsia="方正魏碑_GBK"/>
                <w:sz w:val="32"/>
                <w:szCs w:val="32"/>
                <w:u w:val="single"/>
                <w:lang w:val="en-US" w:eastAsia="zh-CN"/>
              </w:rPr>
              <w:t>青田县砂石料工作中心</w:t>
            </w:r>
          </w:p>
        </w:tc>
      </w:tr>
      <w:tr>
        <w:tblPrEx>
          <w:tblCellMar>
            <w:top w:w="0" w:type="dxa"/>
            <w:left w:w="108" w:type="dxa"/>
            <w:bottom w:w="0" w:type="dxa"/>
            <w:right w:w="108" w:type="dxa"/>
          </w:tblCellMar>
        </w:tblPrEx>
        <w:trPr>
          <w:trHeight w:val="1104" w:hRule="atLeast"/>
          <w:jc w:val="center"/>
        </w:trPr>
        <w:tc>
          <w:tcPr>
            <w:tcW w:w="2250" w:type="dxa"/>
            <w:noWrap w:val="0"/>
            <w:vAlign w:val="center"/>
          </w:tcPr>
          <w:p>
            <w:pPr>
              <w:spacing w:line="600" w:lineRule="exact"/>
              <w:jc w:val="distribute"/>
              <w:rPr>
                <w:rFonts w:hint="eastAsia" w:ascii="仿宋_GB2312" w:hAnsi="宋体" w:eastAsia="仿宋_GB2312"/>
                <w:b/>
                <w:sz w:val="32"/>
                <w:szCs w:val="32"/>
              </w:rPr>
            </w:pPr>
            <w:r>
              <w:rPr>
                <w:rFonts w:hint="eastAsia" w:ascii="仿宋_GB2312" w:hAnsi="宋体" w:eastAsia="仿宋_GB2312"/>
                <w:b/>
                <w:sz w:val="32"/>
                <w:szCs w:val="32"/>
                <w:lang w:val="en-US" w:eastAsia="zh-CN"/>
              </w:rPr>
              <w:t>拍卖编号：</w:t>
            </w:r>
          </w:p>
        </w:tc>
        <w:tc>
          <w:tcPr>
            <w:tcW w:w="7201" w:type="dxa"/>
            <w:noWrap w:val="0"/>
            <w:vAlign w:val="center"/>
          </w:tcPr>
          <w:p>
            <w:pPr>
              <w:spacing w:line="500" w:lineRule="exact"/>
              <w:rPr>
                <w:rFonts w:hint="default" w:ascii="仿宋_GB2312" w:hAnsi="宋体" w:eastAsia="仿宋_GB2312"/>
                <w:sz w:val="32"/>
                <w:szCs w:val="32"/>
                <w:u w:val="single"/>
                <w:lang w:val="en-US"/>
              </w:rPr>
            </w:pPr>
            <w:r>
              <w:rPr>
                <w:rFonts w:hint="eastAsia" w:ascii="仿宋_GB2312" w:hAnsi="宋体" w:eastAsia="仿宋_GB2312"/>
                <w:sz w:val="32"/>
                <w:szCs w:val="32"/>
                <w:u w:val="single"/>
                <w:lang w:val="en-US" w:eastAsia="zh-CN"/>
              </w:rPr>
              <w:t>QTCQ2023-004</w:t>
            </w:r>
          </w:p>
        </w:tc>
      </w:tr>
      <w:tr>
        <w:tblPrEx>
          <w:tblCellMar>
            <w:top w:w="0" w:type="dxa"/>
            <w:left w:w="108" w:type="dxa"/>
            <w:bottom w:w="0" w:type="dxa"/>
            <w:right w:w="108" w:type="dxa"/>
          </w:tblCellMar>
        </w:tblPrEx>
        <w:trPr>
          <w:trHeight w:val="1065" w:hRule="atLeast"/>
          <w:jc w:val="center"/>
        </w:trPr>
        <w:tc>
          <w:tcPr>
            <w:tcW w:w="2250" w:type="dxa"/>
            <w:noWrap w:val="0"/>
            <w:vAlign w:val="center"/>
          </w:tcPr>
          <w:p>
            <w:pPr>
              <w:spacing w:line="600" w:lineRule="exact"/>
              <w:jc w:val="distribute"/>
              <w:rPr>
                <w:rFonts w:hint="eastAsia" w:ascii="仿宋_GB2312" w:hAnsi="宋体" w:eastAsia="仿宋_GB2312"/>
                <w:b/>
                <w:sz w:val="32"/>
                <w:szCs w:val="32"/>
              </w:rPr>
            </w:pPr>
            <w:r>
              <w:rPr>
                <w:rFonts w:hint="eastAsia" w:ascii="仿宋_GB2312" w:hAnsi="宋体" w:eastAsia="仿宋_GB2312"/>
                <w:b/>
                <w:sz w:val="32"/>
                <w:szCs w:val="32"/>
              </w:rPr>
              <w:t>拍 卖 人：</w:t>
            </w:r>
          </w:p>
        </w:tc>
        <w:tc>
          <w:tcPr>
            <w:tcW w:w="7201" w:type="dxa"/>
            <w:noWrap w:val="0"/>
            <w:vAlign w:val="center"/>
          </w:tcPr>
          <w:p>
            <w:pPr>
              <w:spacing w:line="600" w:lineRule="exact"/>
              <w:rPr>
                <w:rFonts w:hint="eastAsia" w:ascii="仿宋_GB2312" w:hAnsi="宋体" w:eastAsia="仿宋_GB2312"/>
                <w:sz w:val="32"/>
                <w:szCs w:val="32"/>
                <w:u w:val="single"/>
              </w:rPr>
            </w:pPr>
            <w:r>
              <w:rPr>
                <w:rFonts w:hint="eastAsia" w:ascii="仿宋_GB2312" w:hAnsi="宋体" w:eastAsia="仿宋_GB2312"/>
                <w:sz w:val="32"/>
                <w:szCs w:val="32"/>
                <w:u w:val="single"/>
                <w:lang w:eastAsia="zh-CN"/>
              </w:rPr>
              <w:t>丽水中侨拍卖行有限公司</w:t>
            </w:r>
          </w:p>
        </w:tc>
      </w:tr>
      <w:tr>
        <w:tblPrEx>
          <w:tblCellMar>
            <w:top w:w="0" w:type="dxa"/>
            <w:left w:w="108" w:type="dxa"/>
            <w:bottom w:w="0" w:type="dxa"/>
            <w:right w:w="108" w:type="dxa"/>
          </w:tblCellMar>
        </w:tblPrEx>
        <w:trPr>
          <w:trHeight w:val="1166" w:hRule="atLeast"/>
          <w:jc w:val="center"/>
        </w:trPr>
        <w:tc>
          <w:tcPr>
            <w:tcW w:w="2250" w:type="dxa"/>
            <w:noWrap w:val="0"/>
            <w:vAlign w:val="center"/>
          </w:tcPr>
          <w:p>
            <w:pPr>
              <w:spacing w:line="600" w:lineRule="exact"/>
              <w:jc w:val="distribute"/>
              <w:rPr>
                <w:rFonts w:hint="eastAsia" w:ascii="仿宋_GB2312" w:hAnsi="宋体" w:eastAsia="仿宋_GB2312"/>
                <w:b/>
                <w:sz w:val="32"/>
                <w:szCs w:val="32"/>
              </w:rPr>
            </w:pPr>
          </w:p>
        </w:tc>
        <w:tc>
          <w:tcPr>
            <w:tcW w:w="7201" w:type="dxa"/>
            <w:noWrap w:val="0"/>
            <w:vAlign w:val="center"/>
          </w:tcPr>
          <w:p>
            <w:pPr>
              <w:spacing w:line="600" w:lineRule="exact"/>
              <w:rPr>
                <w:rFonts w:hint="eastAsia" w:ascii="仿宋_GB2312" w:hAnsi="宋体" w:eastAsia="仿宋_GB2312"/>
                <w:sz w:val="32"/>
                <w:szCs w:val="32"/>
              </w:rPr>
            </w:pPr>
          </w:p>
        </w:tc>
      </w:tr>
      <w:tr>
        <w:tblPrEx>
          <w:tblCellMar>
            <w:top w:w="0" w:type="dxa"/>
            <w:left w:w="108" w:type="dxa"/>
            <w:bottom w:w="0" w:type="dxa"/>
            <w:right w:w="108" w:type="dxa"/>
          </w:tblCellMar>
        </w:tblPrEx>
        <w:trPr>
          <w:trHeight w:val="390" w:hRule="atLeast"/>
          <w:jc w:val="center"/>
        </w:trPr>
        <w:tc>
          <w:tcPr>
            <w:tcW w:w="2250" w:type="dxa"/>
            <w:noWrap w:val="0"/>
            <w:vAlign w:val="center"/>
          </w:tcPr>
          <w:p>
            <w:pPr>
              <w:spacing w:line="600" w:lineRule="exact"/>
              <w:jc w:val="distribute"/>
              <w:rPr>
                <w:rFonts w:hint="eastAsia" w:ascii="仿宋_GB2312" w:hAnsi="宋体" w:eastAsia="仿宋_GB2312"/>
                <w:b/>
                <w:sz w:val="32"/>
                <w:szCs w:val="32"/>
              </w:rPr>
            </w:pPr>
          </w:p>
        </w:tc>
        <w:tc>
          <w:tcPr>
            <w:tcW w:w="7201" w:type="dxa"/>
            <w:noWrap w:val="0"/>
            <w:vAlign w:val="center"/>
          </w:tcPr>
          <w:p>
            <w:pPr>
              <w:spacing w:line="600" w:lineRule="exact"/>
              <w:rPr>
                <w:rFonts w:hint="eastAsia" w:ascii="仿宋_GB2312" w:hAnsi="宋体" w:eastAsia="仿宋_GB2312"/>
                <w:sz w:val="32"/>
                <w:szCs w:val="32"/>
                <w:u w:val="single"/>
              </w:rPr>
            </w:pPr>
          </w:p>
        </w:tc>
      </w:tr>
      <w:tr>
        <w:tblPrEx>
          <w:tblCellMar>
            <w:top w:w="0" w:type="dxa"/>
            <w:left w:w="108" w:type="dxa"/>
            <w:bottom w:w="0" w:type="dxa"/>
            <w:right w:w="108" w:type="dxa"/>
          </w:tblCellMar>
        </w:tblPrEx>
        <w:trPr>
          <w:trHeight w:val="851" w:hRule="atLeast"/>
          <w:jc w:val="center"/>
        </w:trPr>
        <w:tc>
          <w:tcPr>
            <w:tcW w:w="9451" w:type="dxa"/>
            <w:gridSpan w:val="2"/>
            <w:noWrap w:val="0"/>
            <w:vAlign w:val="center"/>
          </w:tcPr>
          <w:p>
            <w:pPr>
              <w:spacing w:line="600" w:lineRule="exact"/>
              <w:jc w:val="center"/>
              <w:rPr>
                <w:rFonts w:hint="eastAsia" w:ascii="仿宋_GB2312" w:hAnsi="宋体" w:eastAsia="仿宋_GB2312"/>
                <w:b/>
                <w:sz w:val="32"/>
                <w:szCs w:val="32"/>
              </w:rPr>
            </w:pPr>
            <w:r>
              <w:rPr>
                <w:rFonts w:hint="eastAsia" w:ascii="仿宋_GB2312" w:hAnsi="宋体" w:eastAsia="仿宋_GB2312"/>
                <w:b/>
                <w:color w:val="1F497D"/>
                <w:sz w:val="32"/>
                <w:szCs w:val="32"/>
              </w:rPr>
              <w:t>二〇二</w:t>
            </w:r>
            <w:r>
              <w:rPr>
                <w:rFonts w:hint="eastAsia" w:ascii="仿宋_GB2312" w:hAnsi="宋体" w:eastAsia="仿宋_GB2312"/>
                <w:b/>
                <w:color w:val="1F497D"/>
                <w:sz w:val="32"/>
                <w:szCs w:val="32"/>
                <w:lang w:val="en-US" w:eastAsia="zh-CN"/>
              </w:rPr>
              <w:t>三</w:t>
            </w:r>
            <w:r>
              <w:rPr>
                <w:rFonts w:hint="eastAsia" w:ascii="仿宋_GB2312" w:hAnsi="宋体" w:eastAsia="仿宋_GB2312"/>
                <w:b/>
                <w:color w:val="1F497D"/>
                <w:sz w:val="32"/>
                <w:szCs w:val="32"/>
              </w:rPr>
              <w:t>年</w:t>
            </w:r>
            <w:r>
              <w:rPr>
                <w:rFonts w:hint="eastAsia" w:ascii="仿宋_GB2312" w:hAnsi="宋体" w:eastAsia="仿宋_GB2312"/>
                <w:b/>
                <w:color w:val="1F497D"/>
                <w:sz w:val="32"/>
                <w:szCs w:val="32"/>
                <w:lang w:val="en-US" w:eastAsia="zh-CN"/>
              </w:rPr>
              <w:t>三</w:t>
            </w:r>
            <w:r>
              <w:rPr>
                <w:rFonts w:hint="eastAsia" w:ascii="仿宋_GB2312" w:hAnsi="宋体" w:eastAsia="仿宋_GB2312"/>
                <w:b/>
                <w:color w:val="1F497D"/>
                <w:sz w:val="32"/>
                <w:szCs w:val="32"/>
              </w:rPr>
              <w:t>月</w:t>
            </w:r>
          </w:p>
        </w:tc>
      </w:tr>
    </w:tbl>
    <w:p>
      <w:pPr>
        <w:rPr>
          <w:rFonts w:hint="eastAsia"/>
        </w:rPr>
      </w:pPr>
    </w:p>
    <w:p>
      <w:pPr>
        <w:pStyle w:val="2"/>
        <w:spacing w:before="120" w:beforeLines="50" w:after="120" w:afterLines="50" w:line="240" w:lineRule="auto"/>
        <w:jc w:val="center"/>
        <w:rPr>
          <w:rFonts w:ascii="宋体" w:hAnsi="宋体"/>
          <w:sz w:val="48"/>
          <w:szCs w:val="48"/>
        </w:rPr>
        <w:sectPr>
          <w:footerReference r:id="rId7" w:type="first"/>
          <w:headerReference r:id="rId3" w:type="default"/>
          <w:footerReference r:id="rId5" w:type="default"/>
          <w:headerReference r:id="rId4" w:type="even"/>
          <w:footerReference r:id="rId6" w:type="even"/>
          <w:endnotePr>
            <w:numFmt w:val="decimal"/>
          </w:endnotePr>
          <w:pgSz w:w="11906" w:h="16838"/>
          <w:pgMar w:top="1134" w:right="1134" w:bottom="907" w:left="1134" w:header="567" w:footer="567" w:gutter="0"/>
          <w:cols w:space="720" w:num="1"/>
          <w:titlePg/>
          <w:docGrid w:linePitch="312" w:charSpace="0"/>
        </w:sectPr>
      </w:pPr>
    </w:p>
    <w:p>
      <w:pPr>
        <w:pStyle w:val="2"/>
        <w:spacing w:before="120" w:beforeLines="50" w:after="120" w:afterLines="50" w:line="240" w:lineRule="auto"/>
        <w:jc w:val="center"/>
        <w:rPr>
          <w:rFonts w:hint="eastAsia" w:ascii="宋体" w:hAnsi="宋体"/>
          <w:sz w:val="48"/>
          <w:szCs w:val="48"/>
        </w:rPr>
      </w:pPr>
      <w:bookmarkStart w:id="0" w:name="_Toc476475362"/>
      <w:r>
        <w:rPr>
          <w:rFonts w:hint="eastAsia" w:ascii="宋体" w:hAnsi="宋体"/>
          <w:sz w:val="48"/>
          <w:szCs w:val="48"/>
        </w:rPr>
        <w:t>目  录</w:t>
      </w:r>
      <w:bookmarkEnd w:id="0"/>
    </w:p>
    <w:p>
      <w:pPr>
        <w:rPr>
          <w:rFonts w:hint="eastAsia"/>
        </w:rPr>
      </w:pPr>
    </w:p>
    <w:p>
      <w:pPr>
        <w:pStyle w:val="8"/>
        <w:tabs>
          <w:tab w:val="right" w:leader="dot" w:pos="9628"/>
        </w:tabs>
        <w:rPr>
          <w:sz w:val="24"/>
          <w:szCs w:val="24"/>
        </w:rPr>
      </w:pPr>
      <w:r>
        <w:rPr>
          <w:rFonts w:hint="eastAsia" w:ascii="宋体" w:hAnsi="宋体"/>
          <w:sz w:val="30"/>
          <w:szCs w:val="30"/>
        </w:rPr>
        <w:fldChar w:fldCharType="begin"/>
      </w:r>
      <w:r>
        <w:rPr>
          <w:rStyle w:val="15"/>
          <w:rFonts w:hint="eastAsia" w:ascii="宋体" w:hAnsi="宋体"/>
          <w:color w:val="auto"/>
          <w:sz w:val="30"/>
          <w:szCs w:val="30"/>
        </w:rPr>
        <w:instrText xml:space="preserve"> TOC \o "1-3" \h \z \u </w:instrText>
      </w:r>
      <w:r>
        <w:rPr>
          <w:rFonts w:hint="eastAsia" w:ascii="宋体" w:hAnsi="宋体"/>
          <w:sz w:val="30"/>
          <w:szCs w:val="30"/>
        </w:rPr>
        <w:fldChar w:fldCharType="separate"/>
      </w:r>
      <w:r>
        <w:rPr>
          <w:sz w:val="24"/>
          <w:szCs w:val="24"/>
        </w:rPr>
        <w:fldChar w:fldCharType="begin"/>
      </w:r>
      <w:r>
        <w:rPr>
          <w:sz w:val="24"/>
          <w:szCs w:val="24"/>
        </w:rPr>
        <w:instrText xml:space="preserve"> HYPERLINK \l "_Toc476475362" </w:instrText>
      </w:r>
      <w:r>
        <w:rPr>
          <w:sz w:val="24"/>
          <w:szCs w:val="24"/>
        </w:rPr>
        <w:fldChar w:fldCharType="separate"/>
      </w:r>
      <w:r>
        <w:rPr>
          <w:rFonts w:hint="eastAsia" w:ascii="宋体" w:hAnsi="宋体"/>
          <w:sz w:val="24"/>
          <w:szCs w:val="24"/>
        </w:rPr>
        <w:t>目</w:t>
      </w:r>
      <w:r>
        <w:rPr>
          <w:rFonts w:ascii="宋体" w:hAnsi="宋体"/>
          <w:sz w:val="24"/>
          <w:szCs w:val="24"/>
        </w:rPr>
        <w:t xml:space="preserve">  </w:t>
      </w:r>
      <w:r>
        <w:rPr>
          <w:rFonts w:hint="eastAsia" w:ascii="宋体" w:hAnsi="宋体"/>
          <w:sz w:val="24"/>
          <w:szCs w:val="24"/>
        </w:rPr>
        <w:t>录</w:t>
      </w:r>
      <w:r>
        <w:rPr>
          <w:sz w:val="24"/>
          <w:szCs w:val="24"/>
        </w:rPr>
        <w:tab/>
      </w:r>
      <w:r>
        <w:rPr>
          <w:sz w:val="24"/>
          <w:szCs w:val="24"/>
        </w:rPr>
        <w:fldChar w:fldCharType="begin"/>
      </w:r>
      <w:r>
        <w:rPr>
          <w:sz w:val="24"/>
          <w:szCs w:val="24"/>
        </w:rPr>
        <w:instrText xml:space="preserve"> PAGEREF _Toc476475362 \h </w:instrText>
      </w:r>
      <w:r>
        <w:rPr>
          <w:sz w:val="24"/>
          <w:szCs w:val="24"/>
        </w:rPr>
        <w:fldChar w:fldCharType="separate"/>
      </w:r>
      <w:r>
        <w:rPr>
          <w:sz w:val="24"/>
          <w:szCs w:val="24"/>
        </w:rPr>
        <w:t>1</w:t>
      </w:r>
      <w:r>
        <w:rPr>
          <w:sz w:val="24"/>
          <w:szCs w:val="24"/>
        </w:rPr>
        <w:fldChar w:fldCharType="end"/>
      </w:r>
      <w:r>
        <w:rPr>
          <w:sz w:val="24"/>
          <w:szCs w:val="24"/>
        </w:rPr>
        <w:fldChar w:fldCharType="end"/>
      </w:r>
    </w:p>
    <w:p/>
    <w:p>
      <w:pPr>
        <w:rPr>
          <w:sz w:val="24"/>
          <w:szCs w:val="24"/>
        </w:rPr>
      </w:pPr>
      <w:r>
        <w:fldChar w:fldCharType="begin"/>
      </w:r>
      <w:r>
        <w:rPr>
          <w:sz w:val="24"/>
          <w:szCs w:val="24"/>
        </w:rPr>
        <w:instrText xml:space="preserve"> </w:instrText>
      </w:r>
      <w:r>
        <w:instrText xml:space="preserve">HYPERLINK \l "_Toc476475363"</w:instrText>
      </w:r>
      <w:r>
        <w:rPr>
          <w:sz w:val="24"/>
          <w:szCs w:val="24"/>
        </w:rPr>
        <w:instrText xml:space="preserve"> </w:instrText>
      </w:r>
      <w:r>
        <w:fldChar w:fldCharType="separate"/>
      </w:r>
      <w:r>
        <w:rPr>
          <w:rFonts w:hint="eastAsia" w:ascii="宋体" w:hAnsi="宋体"/>
          <w:sz w:val="24"/>
          <w:szCs w:val="24"/>
        </w:rPr>
        <w:t>第一章</w:t>
      </w:r>
      <w:r>
        <w:rPr>
          <w:rFonts w:hint="eastAsia" w:ascii="宋体" w:hAnsi="宋体"/>
          <w:sz w:val="24"/>
          <w:szCs w:val="24"/>
          <w:lang w:val="en-US" w:eastAsia="zh-CN"/>
        </w:rPr>
        <w:t xml:space="preserve">   砂石料拍卖</w:t>
      </w:r>
      <w:r>
        <w:rPr>
          <w:rFonts w:hint="eastAsia" w:ascii="宋体" w:hAnsi="宋体"/>
          <w:szCs w:val="21"/>
        </w:rPr>
        <w:t>公告</w:t>
      </w:r>
      <w:bookmarkStart w:id="1" w:name="_Hlt512328475"/>
      <w:bookmarkEnd w:id="1"/>
      <w:bookmarkStart w:id="2" w:name="_Hlt512328476"/>
      <w:bookmarkEnd w:id="2"/>
      <w:r>
        <w:rPr>
          <w:rFonts w:hint="eastAsia" w:ascii="宋体" w:hAnsi="宋体"/>
          <w:szCs w:val="21"/>
          <w:u w:val="dotted"/>
        </w:rPr>
        <w:t xml:space="preserve">                                                               </w:t>
      </w:r>
      <w:r>
        <w:rPr>
          <w:rFonts w:hint="eastAsia" w:ascii="宋体" w:hAnsi="宋体"/>
          <w:szCs w:val="21"/>
        </w:rPr>
        <w:t xml:space="preserve"> </w:t>
      </w:r>
      <w:r>
        <w:rPr>
          <w:b/>
        </w:rPr>
        <w:fldChar w:fldCharType="begin"/>
      </w:r>
      <w:r>
        <w:rPr>
          <w:b/>
        </w:rPr>
        <w:instrText xml:space="preserve"> PAGEREF _Toc476475363 \h </w:instrText>
      </w:r>
      <w:r>
        <w:rPr>
          <w:b/>
        </w:rPr>
        <w:fldChar w:fldCharType="separate"/>
      </w:r>
      <w:r>
        <w:rPr>
          <w:b/>
        </w:rPr>
        <w:t>2</w:t>
      </w:r>
      <w:r>
        <w:rPr>
          <w:b/>
        </w:rPr>
        <w:fldChar w:fldCharType="end"/>
      </w:r>
      <w:r>
        <w:fldChar w:fldCharType="end"/>
      </w:r>
    </w:p>
    <w:p/>
    <w:p>
      <w:pPr>
        <w:pStyle w:val="8"/>
        <w:tabs>
          <w:tab w:val="left" w:pos="1050"/>
          <w:tab w:val="right" w:leader="dot" w:pos="9628"/>
        </w:tabs>
        <w:jc w:val="left"/>
        <w:rPr>
          <w:sz w:val="24"/>
          <w:szCs w:val="24"/>
        </w:rPr>
      </w:pPr>
      <w:r>
        <w:rPr>
          <w:sz w:val="24"/>
          <w:szCs w:val="24"/>
        </w:rPr>
        <w:fldChar w:fldCharType="begin"/>
      </w:r>
      <w:r>
        <w:rPr>
          <w:sz w:val="24"/>
          <w:szCs w:val="24"/>
        </w:rPr>
        <w:instrText xml:space="preserve"> HYPERLINK \l "_Toc476475364" </w:instrText>
      </w:r>
      <w:r>
        <w:rPr>
          <w:sz w:val="24"/>
          <w:szCs w:val="24"/>
        </w:rPr>
        <w:fldChar w:fldCharType="separate"/>
      </w:r>
      <w:r>
        <w:rPr>
          <w:rFonts w:hint="eastAsia" w:ascii="宋体" w:hAnsi="宋体"/>
          <w:sz w:val="24"/>
          <w:szCs w:val="24"/>
        </w:rPr>
        <w:t>第二章</w:t>
      </w:r>
      <w:r>
        <w:rPr>
          <w:rFonts w:hint="eastAsia" w:ascii="宋体" w:hAnsi="宋体"/>
          <w:sz w:val="24"/>
          <w:szCs w:val="24"/>
        </w:rPr>
        <w:tab/>
      </w:r>
      <w:r>
        <w:rPr>
          <w:rFonts w:hint="eastAsia" w:ascii="宋体" w:hAnsi="宋体"/>
          <w:sz w:val="24"/>
          <w:szCs w:val="24"/>
          <w:lang w:eastAsia="zh-CN"/>
        </w:rPr>
        <w:t>砂石料</w:t>
      </w:r>
      <w:r>
        <w:rPr>
          <w:rFonts w:hint="eastAsia" w:ascii="宋体" w:hAnsi="宋体"/>
          <w:sz w:val="24"/>
          <w:szCs w:val="24"/>
        </w:rPr>
        <w:t>竞买须知</w:t>
      </w:r>
      <w:r>
        <w:rPr>
          <w:sz w:val="24"/>
          <w:szCs w:val="24"/>
        </w:rPr>
        <w:tab/>
      </w:r>
      <w:r>
        <w:rPr>
          <w:sz w:val="24"/>
          <w:szCs w:val="24"/>
        </w:rPr>
        <w:fldChar w:fldCharType="begin"/>
      </w:r>
      <w:r>
        <w:rPr>
          <w:sz w:val="24"/>
          <w:szCs w:val="24"/>
        </w:rPr>
        <w:instrText xml:space="preserve"> PAGEREF _Toc476475364 \h </w:instrText>
      </w:r>
      <w:r>
        <w:rPr>
          <w:sz w:val="24"/>
          <w:szCs w:val="24"/>
        </w:rPr>
        <w:fldChar w:fldCharType="separate"/>
      </w:r>
      <w:r>
        <w:rPr>
          <w:sz w:val="24"/>
          <w:szCs w:val="24"/>
        </w:rPr>
        <w:t>3</w:t>
      </w:r>
      <w:r>
        <w:rPr>
          <w:sz w:val="24"/>
          <w:szCs w:val="24"/>
        </w:rPr>
        <w:fldChar w:fldCharType="end"/>
      </w:r>
      <w:r>
        <w:rPr>
          <w:sz w:val="24"/>
          <w:szCs w:val="24"/>
        </w:rPr>
        <w:fldChar w:fldCharType="end"/>
      </w:r>
    </w:p>
    <w:p/>
    <w:p>
      <w:pPr>
        <w:pStyle w:val="8"/>
        <w:tabs>
          <w:tab w:val="right" w:leader="dot" w:pos="9628"/>
        </w:tabs>
        <w:rPr>
          <w:sz w:val="24"/>
          <w:szCs w:val="24"/>
        </w:rPr>
      </w:pPr>
      <w:r>
        <w:rPr>
          <w:sz w:val="24"/>
          <w:szCs w:val="24"/>
        </w:rPr>
        <w:fldChar w:fldCharType="begin"/>
      </w:r>
      <w:r>
        <w:rPr>
          <w:sz w:val="24"/>
          <w:szCs w:val="24"/>
        </w:rPr>
        <w:instrText xml:space="preserve"> HYPERLINK \l "_Toc476475365" </w:instrText>
      </w:r>
      <w:r>
        <w:rPr>
          <w:sz w:val="24"/>
          <w:szCs w:val="24"/>
        </w:rPr>
        <w:fldChar w:fldCharType="separate"/>
      </w:r>
      <w:r>
        <w:rPr>
          <w:rFonts w:hint="eastAsia" w:ascii="宋体" w:hAnsi="宋体"/>
          <w:sz w:val="24"/>
          <w:szCs w:val="24"/>
        </w:rPr>
        <w:t>第三章</w:t>
      </w:r>
      <w:r>
        <w:rPr>
          <w:rFonts w:ascii="宋体" w:hAnsi="宋体"/>
          <w:sz w:val="24"/>
          <w:szCs w:val="24"/>
        </w:rPr>
        <w:t xml:space="preserve">  </w:t>
      </w:r>
      <w:r>
        <w:rPr>
          <w:rFonts w:hint="eastAsia" w:ascii="宋体" w:hAnsi="宋体"/>
          <w:sz w:val="24"/>
          <w:szCs w:val="24"/>
        </w:rPr>
        <w:t>拍卖会现场秩序管理办法</w:t>
      </w:r>
      <w:r>
        <w:rPr>
          <w:sz w:val="24"/>
          <w:szCs w:val="24"/>
        </w:rPr>
        <w:tab/>
      </w:r>
      <w:r>
        <w:rPr>
          <w:rFonts w:hint="eastAsia"/>
          <w:sz w:val="24"/>
          <w:szCs w:val="24"/>
        </w:rPr>
        <w:t xml:space="preserve">  </w:t>
      </w:r>
      <w:r>
        <w:rPr>
          <w:rFonts w:hint="eastAsia"/>
          <w:sz w:val="24"/>
          <w:szCs w:val="24"/>
          <w:lang w:val="en-US" w:eastAsia="zh-CN"/>
        </w:rPr>
        <w:t>8</w:t>
      </w:r>
      <w:r>
        <w:rPr>
          <w:sz w:val="24"/>
          <w:szCs w:val="24"/>
        </w:rPr>
        <w:fldChar w:fldCharType="end"/>
      </w:r>
    </w:p>
    <w:p/>
    <w:p>
      <w:pPr>
        <w:pStyle w:val="8"/>
        <w:tabs>
          <w:tab w:val="right" w:leader="dot" w:pos="9628"/>
        </w:tabs>
        <w:rPr>
          <w:sz w:val="24"/>
          <w:szCs w:val="24"/>
        </w:rPr>
      </w:pPr>
      <w:r>
        <w:rPr>
          <w:sz w:val="24"/>
          <w:szCs w:val="24"/>
        </w:rPr>
        <w:fldChar w:fldCharType="begin"/>
      </w:r>
      <w:r>
        <w:rPr>
          <w:sz w:val="24"/>
          <w:szCs w:val="24"/>
        </w:rPr>
        <w:instrText xml:space="preserve"> HYPERLINK \l "_Toc476475366" </w:instrText>
      </w:r>
      <w:r>
        <w:rPr>
          <w:sz w:val="24"/>
          <w:szCs w:val="24"/>
        </w:rPr>
        <w:fldChar w:fldCharType="separate"/>
      </w:r>
      <w:r>
        <w:rPr>
          <w:rFonts w:hint="eastAsia" w:ascii="宋体" w:hAnsi="宋体"/>
          <w:sz w:val="24"/>
          <w:szCs w:val="24"/>
        </w:rPr>
        <w:t>第四章</w:t>
      </w:r>
      <w:r>
        <w:rPr>
          <w:rFonts w:ascii="宋体" w:hAnsi="宋体"/>
          <w:sz w:val="24"/>
          <w:szCs w:val="24"/>
        </w:rPr>
        <w:t xml:space="preserve">  </w:t>
      </w:r>
      <w:r>
        <w:rPr>
          <w:rFonts w:hint="eastAsia" w:ascii="宋体" w:hAnsi="宋体"/>
          <w:sz w:val="24"/>
          <w:szCs w:val="24"/>
        </w:rPr>
        <w:t>竞买申请书（格式）</w:t>
      </w:r>
      <w:r>
        <w:rPr>
          <w:sz w:val="24"/>
          <w:szCs w:val="24"/>
        </w:rPr>
        <w:tab/>
      </w:r>
      <w:r>
        <w:rPr>
          <w:rFonts w:hint="eastAsia"/>
          <w:sz w:val="24"/>
          <w:szCs w:val="24"/>
          <w:lang w:val="en-US" w:eastAsia="zh-CN"/>
        </w:rPr>
        <w:t>9</w:t>
      </w:r>
      <w:r>
        <w:rPr>
          <w:sz w:val="24"/>
          <w:szCs w:val="24"/>
        </w:rPr>
        <w:fldChar w:fldCharType="end"/>
      </w:r>
    </w:p>
    <w:p/>
    <w:p>
      <w:pPr>
        <w:pStyle w:val="8"/>
        <w:tabs>
          <w:tab w:val="right" w:leader="dot" w:pos="9628"/>
        </w:tabs>
        <w:rPr>
          <w:rFonts w:hint="eastAsia" w:eastAsia="宋体"/>
          <w:sz w:val="24"/>
          <w:szCs w:val="24"/>
          <w:lang w:val="en-US" w:eastAsia="zh-CN"/>
        </w:rPr>
      </w:pPr>
      <w:r>
        <w:rPr>
          <w:sz w:val="24"/>
          <w:szCs w:val="24"/>
        </w:rPr>
        <w:fldChar w:fldCharType="begin"/>
      </w:r>
      <w:r>
        <w:rPr>
          <w:sz w:val="24"/>
          <w:szCs w:val="24"/>
        </w:rPr>
        <w:instrText xml:space="preserve"> HYPERLINK \l "_Toc476475367" </w:instrText>
      </w:r>
      <w:r>
        <w:rPr>
          <w:sz w:val="24"/>
          <w:szCs w:val="24"/>
        </w:rPr>
        <w:fldChar w:fldCharType="separate"/>
      </w:r>
      <w:r>
        <w:rPr>
          <w:rFonts w:hint="eastAsia" w:ascii="宋体" w:hAnsi="宋体"/>
          <w:sz w:val="24"/>
          <w:szCs w:val="24"/>
        </w:rPr>
        <w:t>第五章</w:t>
      </w:r>
      <w:r>
        <w:rPr>
          <w:rFonts w:ascii="宋体" w:hAnsi="宋体"/>
          <w:sz w:val="24"/>
          <w:szCs w:val="24"/>
        </w:rPr>
        <w:t xml:space="preserve">  </w:t>
      </w:r>
      <w:r>
        <w:rPr>
          <w:rFonts w:hint="eastAsia" w:ascii="宋体" w:hAnsi="宋体"/>
          <w:sz w:val="24"/>
          <w:szCs w:val="24"/>
        </w:rPr>
        <w:t>拍卖成交确认书（样本）</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0</w:t>
      </w:r>
    </w:p>
    <w:p/>
    <w:p>
      <w:pPr>
        <w:pStyle w:val="8"/>
        <w:tabs>
          <w:tab w:val="right" w:leader="dot" w:pos="9628"/>
        </w:tabs>
        <w:rPr>
          <w:rFonts w:hint="eastAsia" w:eastAsia="宋体"/>
          <w:lang w:val="en-US" w:eastAsia="zh-CN"/>
        </w:rPr>
      </w:pPr>
      <w:r>
        <w:rPr>
          <w:sz w:val="24"/>
          <w:szCs w:val="24"/>
        </w:rPr>
        <w:fldChar w:fldCharType="begin"/>
      </w:r>
      <w:r>
        <w:rPr>
          <w:sz w:val="24"/>
          <w:szCs w:val="24"/>
        </w:rPr>
        <w:instrText xml:space="preserve"> HYPERLINK \l "_Toc476475367" </w:instrText>
      </w:r>
      <w:r>
        <w:rPr>
          <w:sz w:val="24"/>
          <w:szCs w:val="24"/>
        </w:rPr>
        <w:fldChar w:fldCharType="separate"/>
      </w:r>
      <w:r>
        <w:rPr>
          <w:rFonts w:hint="eastAsia" w:ascii="宋体" w:hAnsi="宋体"/>
          <w:sz w:val="24"/>
          <w:szCs w:val="24"/>
        </w:rPr>
        <w:t>第</w:t>
      </w:r>
      <w:r>
        <w:rPr>
          <w:rFonts w:hint="eastAsia" w:ascii="宋体" w:hAnsi="宋体"/>
          <w:sz w:val="24"/>
          <w:szCs w:val="24"/>
          <w:lang w:val="en-US" w:eastAsia="zh-CN"/>
        </w:rPr>
        <w:t>六</w:t>
      </w:r>
      <w:r>
        <w:rPr>
          <w:rFonts w:hint="eastAsia" w:ascii="宋体" w:hAnsi="宋体"/>
          <w:sz w:val="24"/>
          <w:szCs w:val="24"/>
        </w:rPr>
        <w:t>章</w:t>
      </w:r>
      <w:r>
        <w:rPr>
          <w:rFonts w:ascii="宋体" w:hAnsi="宋体"/>
          <w:sz w:val="24"/>
          <w:szCs w:val="24"/>
        </w:rPr>
        <w:t xml:space="preserve">  </w:t>
      </w:r>
      <w:r>
        <w:rPr>
          <w:rFonts w:hint="eastAsia" w:ascii="宋体" w:hAnsi="宋体"/>
          <w:sz w:val="24"/>
          <w:szCs w:val="24"/>
          <w:lang w:val="en-US" w:eastAsia="zh-CN"/>
        </w:rPr>
        <w:t>授权委托</w:t>
      </w:r>
      <w:r>
        <w:rPr>
          <w:rFonts w:hint="eastAsia" w:ascii="宋体" w:hAnsi="宋体"/>
          <w:sz w:val="24"/>
          <w:szCs w:val="24"/>
        </w:rPr>
        <w:t>书（样本）</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1</w:t>
      </w:r>
    </w:p>
    <w:p/>
    <w:p>
      <w:pPr>
        <w:pStyle w:val="8"/>
        <w:tabs>
          <w:tab w:val="right" w:leader="dot" w:pos="9628"/>
        </w:tabs>
        <w:rPr>
          <w:rFonts w:hint="eastAsia" w:eastAsia="宋体"/>
          <w:sz w:val="24"/>
          <w:szCs w:val="24"/>
          <w:lang w:val="en-US" w:eastAsia="zh-CN"/>
        </w:rPr>
      </w:pPr>
      <w:r>
        <w:rPr>
          <w:sz w:val="24"/>
          <w:szCs w:val="24"/>
        </w:rPr>
        <w:fldChar w:fldCharType="begin"/>
      </w:r>
      <w:r>
        <w:rPr>
          <w:sz w:val="24"/>
          <w:szCs w:val="24"/>
        </w:rPr>
        <w:instrText xml:space="preserve"> HYPERLINK \l "_Toc476475368" </w:instrText>
      </w:r>
      <w:r>
        <w:rPr>
          <w:sz w:val="24"/>
          <w:szCs w:val="24"/>
        </w:rPr>
        <w:fldChar w:fldCharType="separate"/>
      </w:r>
      <w:r>
        <w:rPr>
          <w:rFonts w:hint="eastAsia" w:ascii="宋体" w:hAnsi="宋体"/>
          <w:sz w:val="24"/>
          <w:szCs w:val="24"/>
        </w:rPr>
        <w:t>第</w:t>
      </w:r>
      <w:r>
        <w:rPr>
          <w:rFonts w:hint="eastAsia" w:ascii="宋体" w:hAnsi="宋体"/>
          <w:sz w:val="24"/>
          <w:szCs w:val="24"/>
          <w:lang w:val="en-US" w:eastAsia="zh-CN"/>
        </w:rPr>
        <w:t>七</w:t>
      </w:r>
      <w:r>
        <w:rPr>
          <w:rFonts w:hint="eastAsia" w:ascii="宋体" w:hAnsi="宋体"/>
          <w:sz w:val="24"/>
          <w:szCs w:val="24"/>
        </w:rPr>
        <w:t>章</w:t>
      </w:r>
      <w:r>
        <w:rPr>
          <w:rFonts w:ascii="宋体" w:hAnsi="宋体"/>
          <w:sz w:val="24"/>
          <w:szCs w:val="24"/>
        </w:rPr>
        <w:t xml:space="preserve">  </w:t>
      </w:r>
      <w:r>
        <w:rPr>
          <w:rFonts w:hint="eastAsia" w:ascii="宋体" w:hAnsi="宋体"/>
          <w:sz w:val="24"/>
          <w:szCs w:val="24"/>
          <w:lang w:eastAsia="zh-CN"/>
        </w:rPr>
        <w:t>砂石料</w:t>
      </w:r>
      <w:r>
        <w:rPr>
          <w:rFonts w:hint="eastAsia" w:ascii="宋体" w:hAnsi="宋体"/>
          <w:sz w:val="24"/>
          <w:szCs w:val="24"/>
        </w:rPr>
        <w:t>出让合同书（样本）</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2</w:t>
      </w:r>
    </w:p>
    <w:p/>
    <w:p>
      <w:pPr>
        <w:pStyle w:val="8"/>
        <w:tabs>
          <w:tab w:val="right" w:leader="dot" w:pos="9628"/>
        </w:tabs>
        <w:rPr>
          <w:rStyle w:val="14"/>
          <w:rFonts w:hint="default" w:eastAsia="宋体"/>
          <w:lang w:val="en-US" w:eastAsia="zh-CN"/>
        </w:rPr>
      </w:pPr>
      <w:r>
        <w:rPr>
          <w:rFonts w:hint="eastAsia" w:ascii="宋体" w:hAnsi="宋体"/>
          <w:sz w:val="30"/>
          <w:szCs w:val="30"/>
        </w:rPr>
        <w:fldChar w:fldCharType="end"/>
      </w:r>
    </w:p>
    <w:p>
      <w:pPr>
        <w:pStyle w:val="8"/>
        <w:tabs>
          <w:tab w:val="right" w:leader="dot" w:pos="9231"/>
        </w:tabs>
        <w:spacing w:before="120" w:beforeLines="50" w:after="120" w:afterLines="50" w:line="360" w:lineRule="auto"/>
        <w:rPr>
          <w:rFonts w:hint="eastAsia" w:ascii="宋体" w:hAnsi="宋体"/>
          <w:sz w:val="30"/>
          <w:szCs w:val="30"/>
        </w:rPr>
      </w:pPr>
    </w:p>
    <w:p>
      <w:pPr>
        <w:pStyle w:val="8"/>
        <w:tabs>
          <w:tab w:val="right" w:leader="dot" w:pos="8640"/>
        </w:tabs>
        <w:spacing w:before="120" w:beforeLines="50" w:after="120" w:afterLines="50" w:line="360" w:lineRule="auto"/>
        <w:rPr>
          <w:rFonts w:ascii="宋体" w:hAnsi="宋体"/>
          <w:spacing w:val="-20"/>
          <w:sz w:val="24"/>
          <w:szCs w:val="24"/>
        </w:rPr>
      </w:pPr>
    </w:p>
    <w:p>
      <w:pPr>
        <w:bidi w:val="0"/>
      </w:pPr>
    </w:p>
    <w:p>
      <w:pPr>
        <w:bidi w:val="0"/>
      </w:pPr>
    </w:p>
    <w:p>
      <w:pPr>
        <w:bidi w:val="0"/>
      </w:pPr>
    </w:p>
    <w:p>
      <w:pPr>
        <w:bidi w:val="0"/>
      </w:pPr>
    </w:p>
    <w:p>
      <w:pPr>
        <w:bidi w:val="0"/>
      </w:pPr>
    </w:p>
    <w:p>
      <w:pPr>
        <w:bidi w:val="0"/>
      </w:pPr>
    </w:p>
    <w:p>
      <w:pPr>
        <w:tabs>
          <w:tab w:val="left" w:pos="2607"/>
        </w:tabs>
        <w:bidi w:val="0"/>
        <w:jc w:val="left"/>
        <w:rPr>
          <w:rFonts w:hint="eastAsia" w:eastAsia="宋体"/>
          <w:lang w:eastAsia="zh-CN"/>
        </w:rPr>
        <w:sectPr>
          <w:footerReference r:id="rId8" w:type="default"/>
          <w:endnotePr>
            <w:numFmt w:val="decimal"/>
          </w:endnotePr>
          <w:pgSz w:w="11906" w:h="16838"/>
          <w:pgMar w:top="1134" w:right="926" w:bottom="907" w:left="1134" w:header="567" w:footer="567" w:gutter="0"/>
          <w:pgNumType w:fmt="decimal" w:start="1"/>
          <w:cols w:space="720" w:num="1"/>
          <w:docGrid w:linePitch="312" w:charSpace="0"/>
        </w:sectPr>
      </w:pPr>
      <w:r>
        <w:rPr>
          <w:rFonts w:hint="eastAsia"/>
          <w:lang w:eastAsia="zh-CN"/>
        </w:rPr>
        <w:tab/>
      </w:r>
    </w:p>
    <w:p>
      <w:pPr>
        <w:pStyle w:val="2"/>
        <w:spacing w:before="120" w:beforeLines="50" w:after="120" w:afterLines="50" w:line="240" w:lineRule="auto"/>
        <w:jc w:val="center"/>
        <w:rPr>
          <w:rFonts w:hint="eastAsia" w:ascii="宋体" w:hAnsi="宋体"/>
          <w:sz w:val="36"/>
          <w:szCs w:val="36"/>
        </w:rPr>
      </w:pPr>
      <w:bookmarkStart w:id="3" w:name="_Toc476475363"/>
      <w:r>
        <w:rPr>
          <w:rFonts w:hint="eastAsia" w:ascii="宋体" w:hAnsi="宋体"/>
          <w:sz w:val="36"/>
          <w:szCs w:val="36"/>
        </w:rPr>
        <w:t>第一章　</w:t>
      </w:r>
      <w:r>
        <w:rPr>
          <w:rFonts w:hint="eastAsia" w:ascii="宋体" w:hAnsi="宋体"/>
          <w:sz w:val="36"/>
          <w:szCs w:val="36"/>
          <w:lang w:eastAsia="zh-CN"/>
        </w:rPr>
        <w:t>砂石料拍卖</w:t>
      </w:r>
      <w:r>
        <w:rPr>
          <w:rFonts w:hint="eastAsia" w:ascii="宋体" w:hAnsi="宋体"/>
          <w:sz w:val="36"/>
          <w:szCs w:val="36"/>
        </w:rPr>
        <w:t>公告</w:t>
      </w:r>
      <w:bookmarkEnd w:id="3"/>
    </w:p>
    <w:p>
      <w:pPr>
        <w:spacing w:line="360" w:lineRule="auto"/>
        <w:ind w:firstLine="360" w:firstLineChars="200"/>
        <w:rPr>
          <w:rFonts w:hint="eastAsia" w:ascii="仿宋_GB2312" w:hAnsi="宋体" w:eastAsia="仿宋_GB2312"/>
          <w:color w:val="000000"/>
          <w:szCs w:val="21"/>
        </w:rPr>
      </w:pPr>
      <w:r>
        <w:rPr>
          <w:rFonts w:hint="eastAsia"/>
          <w:color w:val="auto"/>
          <w:sz w:val="18"/>
          <w:szCs w:val="18"/>
        </w:rPr>
        <w:t xml:space="preserve">  </w:t>
      </w:r>
      <w:r>
        <w:rPr>
          <w:rFonts w:hint="eastAsia" w:ascii="仿宋_GB2312" w:hAnsi="宋体" w:eastAsia="仿宋_GB2312"/>
          <w:color w:val="auto"/>
          <w:szCs w:val="21"/>
        </w:rPr>
        <w:t>受相关单位委托，定</w:t>
      </w:r>
      <w:bookmarkStart w:id="13" w:name="_GoBack"/>
      <w:r>
        <w:rPr>
          <w:rFonts w:hint="eastAsia" w:ascii="仿宋_GB2312" w:hAnsi="宋体" w:eastAsia="仿宋_GB2312"/>
          <w:color w:val="auto"/>
          <w:szCs w:val="21"/>
        </w:rPr>
        <w:t>于20</w:t>
      </w:r>
      <w:r>
        <w:rPr>
          <w:rFonts w:hint="eastAsia" w:ascii="仿宋_GB2312" w:hAnsi="宋体" w:eastAsia="仿宋_GB2312"/>
          <w:color w:val="auto"/>
          <w:szCs w:val="21"/>
          <w:lang w:val="en-US" w:eastAsia="zh-CN"/>
        </w:rPr>
        <w:t>23</w:t>
      </w:r>
      <w:r>
        <w:rPr>
          <w:rFonts w:hint="eastAsia" w:ascii="仿宋_GB2312" w:hAnsi="宋体" w:eastAsia="仿宋_GB2312"/>
          <w:color w:val="auto"/>
          <w:szCs w:val="21"/>
        </w:rPr>
        <w:t>年</w:t>
      </w:r>
      <w:r>
        <w:rPr>
          <w:rFonts w:hint="eastAsia" w:ascii="仿宋_GB2312" w:hAnsi="宋体" w:eastAsia="仿宋_GB2312"/>
          <w:color w:val="auto"/>
          <w:szCs w:val="21"/>
          <w:lang w:val="en-US" w:eastAsia="zh-CN"/>
        </w:rPr>
        <w:t>4</w:t>
      </w:r>
      <w:r>
        <w:rPr>
          <w:rFonts w:hint="eastAsia" w:ascii="仿宋_GB2312" w:hAnsi="宋体" w:eastAsia="仿宋_GB2312"/>
          <w:color w:val="auto"/>
          <w:szCs w:val="21"/>
        </w:rPr>
        <w:t>月</w:t>
      </w:r>
      <w:r>
        <w:rPr>
          <w:rFonts w:hint="eastAsia" w:ascii="仿宋_GB2312" w:hAnsi="宋体" w:eastAsia="仿宋_GB2312"/>
          <w:color w:val="auto"/>
          <w:szCs w:val="21"/>
          <w:lang w:val="en-US" w:eastAsia="zh-CN"/>
        </w:rPr>
        <w:t>7</w:t>
      </w:r>
      <w:bookmarkEnd w:id="13"/>
      <w:r>
        <w:rPr>
          <w:rFonts w:hint="eastAsia" w:ascii="仿宋_GB2312" w:hAnsi="宋体" w:eastAsia="仿宋_GB2312"/>
          <w:color w:val="auto"/>
          <w:szCs w:val="21"/>
        </w:rPr>
        <w:t>日</w:t>
      </w:r>
      <w:r>
        <w:rPr>
          <w:rFonts w:hint="eastAsia" w:ascii="仿宋_GB2312" w:hAnsi="宋体" w:eastAsia="仿宋_GB2312"/>
          <w:color w:val="auto"/>
          <w:szCs w:val="21"/>
          <w:lang w:val="en-US" w:eastAsia="zh-CN"/>
        </w:rPr>
        <w:t>下午14</w:t>
      </w:r>
      <w:r>
        <w:rPr>
          <w:rFonts w:hint="eastAsia" w:ascii="仿宋_GB2312" w:hAnsi="宋体" w:eastAsia="仿宋_GB2312"/>
          <w:color w:val="auto"/>
          <w:szCs w:val="21"/>
          <w:lang w:eastAsia="zh-CN"/>
        </w:rPr>
        <w:t>：</w:t>
      </w:r>
      <w:r>
        <w:rPr>
          <w:rFonts w:hint="eastAsia" w:ascii="仿宋_GB2312" w:hAnsi="宋体" w:eastAsia="仿宋_GB2312"/>
          <w:color w:val="auto"/>
          <w:szCs w:val="21"/>
          <w:lang w:val="en-US" w:eastAsia="zh-CN"/>
        </w:rPr>
        <w:t>30</w:t>
      </w:r>
      <w:r>
        <w:rPr>
          <w:rFonts w:hint="eastAsia" w:ascii="仿宋_GB2312" w:hAnsi="宋体" w:eastAsia="仿宋_GB2312"/>
          <w:color w:val="auto"/>
          <w:szCs w:val="21"/>
        </w:rPr>
        <w:t>在</w:t>
      </w:r>
      <w:r>
        <w:rPr>
          <w:rFonts w:hint="eastAsia" w:ascii="仿宋_GB2312" w:hAnsi="宋体" w:eastAsia="仿宋_GB2312"/>
          <w:color w:val="auto"/>
          <w:szCs w:val="21"/>
          <w:lang w:eastAsia="zh-CN"/>
        </w:rPr>
        <w:t>青田县瓯南街道百悦城5幢（华侨总部经济大楼）12楼1206招投标中心开标室（二）</w:t>
      </w:r>
      <w:r>
        <w:rPr>
          <w:rFonts w:hint="eastAsia" w:ascii="仿宋_GB2312" w:hAnsi="宋体" w:eastAsia="仿宋_GB2312"/>
          <w:color w:val="auto"/>
          <w:szCs w:val="21"/>
        </w:rPr>
        <w:t>举</w:t>
      </w:r>
      <w:r>
        <w:rPr>
          <w:rFonts w:hint="eastAsia" w:ascii="仿宋_GB2312" w:hAnsi="宋体" w:eastAsia="仿宋_GB2312"/>
          <w:color w:val="000000"/>
          <w:szCs w:val="21"/>
        </w:rPr>
        <w:t>行拍卖会，公开拍卖</w:t>
      </w:r>
      <w:r>
        <w:rPr>
          <w:rFonts w:hint="eastAsia" w:ascii="仿宋_GB2312" w:hAnsi="宋体" w:eastAsia="仿宋_GB2312"/>
          <w:color w:val="000000"/>
          <w:szCs w:val="21"/>
          <w:lang w:eastAsia="zh-CN"/>
        </w:rPr>
        <w:t>砂石料</w:t>
      </w:r>
      <w:r>
        <w:rPr>
          <w:rFonts w:hint="eastAsia" w:ascii="仿宋_GB2312" w:hAnsi="宋体" w:eastAsia="仿宋_GB2312"/>
          <w:color w:val="000000"/>
          <w:szCs w:val="21"/>
        </w:rPr>
        <w:t>，现将有关事项公告如下：</w:t>
      </w:r>
    </w:p>
    <w:p>
      <w:pPr>
        <w:spacing w:line="360" w:lineRule="auto"/>
        <w:ind w:firstLine="420" w:firstLineChars="200"/>
        <w:rPr>
          <w:rFonts w:hint="eastAsia" w:ascii="仿宋_GB2312" w:hAnsi="宋体" w:eastAsia="仿宋_GB2312"/>
          <w:color w:val="000000"/>
          <w:szCs w:val="21"/>
        </w:rPr>
      </w:pPr>
      <w:r>
        <w:rPr>
          <w:rFonts w:hint="eastAsia" w:ascii="仿宋_GB2312" w:hAnsi="宋体" w:eastAsia="仿宋_GB2312"/>
          <w:color w:val="000000"/>
          <w:szCs w:val="21"/>
        </w:rPr>
        <w:t>一、标的及起拍价：</w:t>
      </w:r>
    </w:p>
    <w:p>
      <w:pPr>
        <w:spacing w:line="360" w:lineRule="auto"/>
        <w:ind w:firstLine="420" w:firstLineChars="200"/>
        <w:rPr>
          <w:rFonts w:hint="eastAsia" w:ascii="仿宋_GB2312" w:hAnsi="宋体" w:eastAsia="仿宋_GB2312"/>
          <w:color w:val="000000"/>
          <w:szCs w:val="21"/>
        </w:rPr>
      </w:pPr>
      <w:r>
        <w:rPr>
          <w:rFonts w:hint="eastAsia" w:ascii="仿宋_GB2312" w:hAnsi="宋体" w:eastAsia="仿宋_GB2312"/>
          <w:color w:val="000000"/>
          <w:szCs w:val="21"/>
        </w:rPr>
        <w:t>本项目</w:t>
      </w:r>
      <w:r>
        <w:rPr>
          <w:rFonts w:hint="eastAsia" w:ascii="仿宋_GB2312" w:hAnsi="宋体" w:eastAsia="仿宋_GB2312"/>
          <w:color w:val="000000"/>
          <w:szCs w:val="21"/>
          <w:lang w:eastAsia="zh-CN"/>
        </w:rPr>
        <w:t>砂石料</w:t>
      </w:r>
      <w:r>
        <w:rPr>
          <w:rFonts w:hint="eastAsia" w:ascii="仿宋_GB2312" w:hAnsi="宋体" w:eastAsia="仿宋_GB2312"/>
          <w:color w:val="000000"/>
          <w:szCs w:val="21"/>
        </w:rPr>
        <w:t>总计约</w:t>
      </w:r>
      <w:r>
        <w:rPr>
          <w:rFonts w:hint="eastAsia" w:ascii="仿宋_GB2312" w:hAnsi="宋体" w:eastAsia="仿宋_GB2312"/>
          <w:color w:val="000000"/>
          <w:szCs w:val="21"/>
          <w:lang w:val="en-US" w:eastAsia="zh-CN"/>
        </w:rPr>
        <w:t>10.84万</w:t>
      </w:r>
      <w:r>
        <w:rPr>
          <w:rFonts w:hint="eastAsia" w:ascii="仿宋_GB2312" w:hAnsi="宋体" w:eastAsia="仿宋_GB2312"/>
          <w:color w:val="000000"/>
          <w:szCs w:val="21"/>
          <w:lang w:eastAsia="zh-CN"/>
        </w:rPr>
        <w:t>吨，砂石料</w:t>
      </w:r>
      <w:r>
        <w:rPr>
          <w:rFonts w:hint="eastAsia" w:ascii="仿宋_GB2312" w:hAnsi="宋体" w:eastAsia="仿宋_GB2312"/>
          <w:color w:val="000000"/>
          <w:szCs w:val="21"/>
        </w:rPr>
        <w:t>量测算如下表：</w:t>
      </w:r>
    </w:p>
    <w:tbl>
      <w:tblPr>
        <w:tblStyle w:val="11"/>
        <w:tblW w:w="9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2434"/>
        <w:gridCol w:w="1985"/>
        <w:gridCol w:w="1273"/>
        <w:gridCol w:w="1608"/>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718" w:type="dxa"/>
            <w:noWrap w:val="0"/>
            <w:vAlign w:val="center"/>
          </w:tcPr>
          <w:p>
            <w:pPr>
              <w:spacing w:line="240" w:lineRule="auto"/>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序号</w:t>
            </w:r>
          </w:p>
        </w:tc>
        <w:tc>
          <w:tcPr>
            <w:tcW w:w="2434" w:type="dxa"/>
            <w:noWrap w:val="0"/>
            <w:vAlign w:val="center"/>
          </w:tcPr>
          <w:p>
            <w:pPr>
              <w:spacing w:line="240" w:lineRule="auto"/>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区段</w:t>
            </w:r>
          </w:p>
        </w:tc>
        <w:tc>
          <w:tcPr>
            <w:tcW w:w="1985" w:type="dxa"/>
            <w:noWrap w:val="0"/>
            <w:vAlign w:val="center"/>
          </w:tcPr>
          <w:p>
            <w:pPr>
              <w:spacing w:line="240" w:lineRule="auto"/>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开挖类型</w:t>
            </w:r>
          </w:p>
        </w:tc>
        <w:tc>
          <w:tcPr>
            <w:tcW w:w="1273" w:type="dxa"/>
            <w:noWrap w:val="0"/>
            <w:vAlign w:val="center"/>
          </w:tcPr>
          <w:p>
            <w:pPr>
              <w:spacing w:line="240" w:lineRule="auto"/>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重量（万吨）</w:t>
            </w:r>
          </w:p>
        </w:tc>
        <w:tc>
          <w:tcPr>
            <w:tcW w:w="1608" w:type="dxa"/>
            <w:noWrap w:val="0"/>
            <w:vAlign w:val="center"/>
          </w:tcPr>
          <w:p>
            <w:pPr>
              <w:spacing w:line="240" w:lineRule="auto"/>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单价（元/吨）</w:t>
            </w:r>
          </w:p>
          <w:p>
            <w:pPr>
              <w:spacing w:line="240" w:lineRule="auto"/>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（不含税）</w:t>
            </w:r>
          </w:p>
        </w:tc>
        <w:tc>
          <w:tcPr>
            <w:tcW w:w="1713" w:type="dxa"/>
            <w:noWrap w:val="0"/>
            <w:vAlign w:val="center"/>
          </w:tcPr>
          <w:p>
            <w:pPr>
              <w:spacing w:line="240" w:lineRule="auto"/>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起拍价（万元）</w:t>
            </w:r>
          </w:p>
          <w:p>
            <w:pPr>
              <w:spacing w:line="240" w:lineRule="auto"/>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718" w:type="dxa"/>
            <w:noWrap w:val="0"/>
            <w:vAlign w:val="center"/>
          </w:tcPr>
          <w:p>
            <w:pPr>
              <w:spacing w:line="240" w:lineRule="auto"/>
              <w:jc w:val="center"/>
              <w:rPr>
                <w:rFonts w:hint="eastAsia" w:ascii="仿宋_GB2312" w:hAnsi="宋体" w:eastAsia="仿宋_GB2312"/>
                <w:color w:val="000000"/>
                <w:szCs w:val="21"/>
                <w:lang w:val="en-US" w:eastAsia="zh-CN"/>
              </w:rPr>
            </w:pPr>
            <w:r>
              <w:rPr>
                <w:rFonts w:hint="eastAsia" w:ascii="仿宋_GB2312" w:hAnsi="宋体" w:eastAsia="仿宋_GB2312" w:cs="Times New Roman"/>
                <w:szCs w:val="21"/>
                <w:lang w:val="en-US" w:eastAsia="zh-CN"/>
              </w:rPr>
              <w:t>1</w:t>
            </w:r>
          </w:p>
        </w:tc>
        <w:tc>
          <w:tcPr>
            <w:tcW w:w="2434" w:type="dxa"/>
            <w:noWrap w:val="0"/>
            <w:vAlign w:val="center"/>
          </w:tcPr>
          <w:p>
            <w:pPr>
              <w:spacing w:line="240" w:lineRule="auto"/>
              <w:jc w:val="center"/>
              <w:rPr>
                <w:rFonts w:hint="default" w:ascii="仿宋_GB2312" w:hAnsi="宋体" w:eastAsia="仿宋_GB2312"/>
                <w:color w:val="000000"/>
                <w:szCs w:val="21"/>
                <w:lang w:val="en-US" w:eastAsia="zh-CN"/>
              </w:rPr>
            </w:pPr>
            <w:r>
              <w:rPr>
                <w:rFonts w:hint="eastAsia" w:ascii="仿宋_GB2312" w:hAnsi="宋体" w:eastAsia="仿宋_GB2312" w:cs="Times New Roman"/>
                <w:szCs w:val="21"/>
                <w:lang w:val="en-US" w:eastAsia="zh-CN"/>
              </w:rPr>
              <w:t>青田县东堡山华侨文化旅游项目二期地块边坡工程开挖砂石料</w:t>
            </w:r>
          </w:p>
        </w:tc>
        <w:tc>
          <w:tcPr>
            <w:tcW w:w="1985" w:type="dxa"/>
            <w:noWrap w:val="0"/>
            <w:vAlign w:val="center"/>
          </w:tcPr>
          <w:p>
            <w:pPr>
              <w:spacing w:line="240" w:lineRule="auto"/>
              <w:jc w:val="center"/>
              <w:rPr>
                <w:rFonts w:hint="default"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石料矿（中风化岩）</w:t>
            </w:r>
          </w:p>
        </w:tc>
        <w:tc>
          <w:tcPr>
            <w:tcW w:w="1273" w:type="dxa"/>
            <w:noWrap w:val="0"/>
            <w:vAlign w:val="center"/>
          </w:tcPr>
          <w:p>
            <w:pPr>
              <w:spacing w:line="240" w:lineRule="auto"/>
              <w:jc w:val="center"/>
              <w:rPr>
                <w:rFonts w:hint="default"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10.84</w:t>
            </w:r>
          </w:p>
        </w:tc>
        <w:tc>
          <w:tcPr>
            <w:tcW w:w="1608" w:type="dxa"/>
            <w:noWrap w:val="0"/>
            <w:vAlign w:val="center"/>
          </w:tcPr>
          <w:p>
            <w:pPr>
              <w:spacing w:line="240" w:lineRule="auto"/>
              <w:jc w:val="center"/>
              <w:rPr>
                <w:rFonts w:hint="default"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16.1</w:t>
            </w:r>
          </w:p>
        </w:tc>
        <w:tc>
          <w:tcPr>
            <w:tcW w:w="1713" w:type="dxa"/>
            <w:noWrap w:val="0"/>
            <w:vAlign w:val="center"/>
          </w:tcPr>
          <w:p>
            <w:pPr>
              <w:spacing w:line="240" w:lineRule="auto"/>
              <w:jc w:val="center"/>
              <w:rPr>
                <w:rFonts w:hint="default"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174.524</w:t>
            </w:r>
          </w:p>
        </w:tc>
      </w:tr>
    </w:tbl>
    <w:p>
      <w:pPr>
        <w:spacing w:line="240" w:lineRule="auto"/>
        <w:ind w:firstLine="420" w:firstLineChars="200"/>
        <w:rPr>
          <w:rFonts w:hint="eastAsia" w:ascii="仿宋_GB2312" w:hAnsi="宋体" w:eastAsia="仿宋_GB2312"/>
          <w:color w:val="000000"/>
          <w:szCs w:val="21"/>
        </w:rPr>
      </w:pPr>
      <w:r>
        <w:rPr>
          <w:rFonts w:hint="eastAsia" w:ascii="仿宋_GB2312" w:hAnsi="宋体" w:eastAsia="仿宋_GB2312"/>
          <w:color w:val="000000"/>
          <w:szCs w:val="21"/>
        </w:rPr>
        <w:t>▲届时请上述标的物的相关权利人到场，缺席视为自行放弃权利。</w:t>
      </w:r>
    </w:p>
    <w:p>
      <w:pPr>
        <w:spacing w:line="240" w:lineRule="auto"/>
        <w:ind w:firstLine="420" w:firstLineChars="200"/>
        <w:rPr>
          <w:rFonts w:hint="eastAsia" w:ascii="仿宋_GB2312" w:hAnsi="宋体" w:eastAsia="仿宋_GB2312" w:cs="Times New Roman"/>
          <w:color w:val="000000"/>
          <w:szCs w:val="21"/>
          <w:lang w:eastAsia="zh-CN"/>
        </w:rPr>
      </w:pPr>
      <w:r>
        <w:rPr>
          <w:rFonts w:hint="eastAsia" w:ascii="仿宋_GB2312" w:hAnsi="宋体" w:eastAsia="仿宋_GB2312" w:cs="Times New Roman"/>
          <w:color w:val="000000"/>
          <w:szCs w:val="21"/>
        </w:rPr>
        <w:t>▲上述标的竞买人数不足三家的，将取消该标的拍卖</w:t>
      </w:r>
      <w:r>
        <w:rPr>
          <w:rFonts w:hint="eastAsia" w:ascii="仿宋_GB2312" w:hAnsi="宋体" w:eastAsia="仿宋_GB2312" w:cs="Times New Roman"/>
          <w:color w:val="000000"/>
          <w:szCs w:val="21"/>
          <w:lang w:eastAsia="zh-CN"/>
        </w:rPr>
        <w:t>。</w:t>
      </w:r>
    </w:p>
    <w:p>
      <w:pPr>
        <w:numPr>
          <w:ilvl w:val="0"/>
          <w:numId w:val="1"/>
        </w:numPr>
        <w:spacing w:line="360" w:lineRule="auto"/>
        <w:ind w:firstLine="420" w:firstLineChars="200"/>
        <w:rPr>
          <w:rFonts w:hint="eastAsia" w:ascii="仿宋_GB2312" w:hAnsi="宋体" w:eastAsia="仿宋_GB2312"/>
          <w:color w:val="auto"/>
          <w:szCs w:val="21"/>
        </w:rPr>
      </w:pPr>
      <w:r>
        <w:rPr>
          <w:rFonts w:hint="eastAsia" w:ascii="仿宋_GB2312" w:hAnsi="宋体" w:eastAsia="仿宋_GB2312"/>
          <w:color w:val="auto"/>
          <w:szCs w:val="21"/>
        </w:rPr>
        <w:t>拍卖方式：采用无保留价的增价拍卖方式。</w:t>
      </w:r>
    </w:p>
    <w:p>
      <w:pPr>
        <w:numPr>
          <w:ilvl w:val="0"/>
          <w:numId w:val="1"/>
        </w:numPr>
        <w:spacing w:line="360" w:lineRule="auto"/>
        <w:ind w:firstLine="420" w:firstLineChars="200"/>
        <w:rPr>
          <w:rFonts w:hint="eastAsia" w:ascii="仿宋_GB2312" w:hAnsi="宋体" w:eastAsia="仿宋_GB2312"/>
          <w:color w:val="auto"/>
          <w:szCs w:val="21"/>
        </w:rPr>
      </w:pPr>
      <w:r>
        <w:rPr>
          <w:rFonts w:hint="eastAsia" w:ascii="仿宋_GB2312" w:hAnsi="宋体" w:eastAsia="仿宋_GB2312"/>
          <w:color w:val="auto"/>
          <w:szCs w:val="21"/>
          <w:lang w:eastAsia="zh-CN"/>
        </w:rPr>
        <w:t>展示时间：</w:t>
      </w:r>
      <w:r>
        <w:rPr>
          <w:rFonts w:hint="eastAsia" w:ascii="仿宋_GB2312" w:hAnsi="宋体" w:eastAsia="仿宋_GB2312"/>
          <w:color w:val="auto"/>
          <w:szCs w:val="21"/>
          <w:lang w:val="en-US" w:eastAsia="zh-CN"/>
        </w:rPr>
        <w:t>2023年4月3</w:t>
      </w:r>
      <w:r>
        <w:rPr>
          <w:rFonts w:hint="eastAsia" w:ascii="仿宋_GB2312" w:hAnsi="宋体" w:eastAsia="仿宋_GB2312"/>
          <w:color w:val="auto"/>
          <w:szCs w:val="21"/>
          <w:lang w:val="en-US" w:eastAsia="zh-CN"/>
        </w:rPr>
        <w:t>日-2023年4月6日</w:t>
      </w:r>
      <w:r>
        <w:rPr>
          <w:rFonts w:hint="eastAsia" w:ascii="仿宋_GB2312" w:hAnsi="宋体" w:eastAsia="仿宋_GB2312"/>
          <w:color w:val="auto"/>
          <w:szCs w:val="21"/>
          <w:lang w:val="en-US" w:eastAsia="zh-CN"/>
        </w:rPr>
        <w:t>（节假日除外）</w:t>
      </w:r>
    </w:p>
    <w:p>
      <w:pPr>
        <w:spacing w:line="360" w:lineRule="auto"/>
        <w:ind w:firstLine="420" w:firstLineChars="200"/>
        <w:rPr>
          <w:rFonts w:hint="eastAsia" w:ascii="仿宋_GB2312" w:hAnsi="宋体" w:eastAsia="仿宋_GB2312"/>
          <w:color w:val="000000"/>
          <w:szCs w:val="21"/>
        </w:rPr>
      </w:pPr>
      <w:r>
        <w:rPr>
          <w:rFonts w:hint="eastAsia" w:ascii="仿宋_GB2312" w:hAnsi="宋体" w:eastAsia="仿宋_GB2312"/>
          <w:color w:val="auto"/>
          <w:szCs w:val="21"/>
          <w:lang w:eastAsia="zh-CN"/>
        </w:rPr>
        <w:t>四</w:t>
      </w:r>
      <w:r>
        <w:rPr>
          <w:rFonts w:hint="eastAsia" w:ascii="仿宋_GB2312" w:hAnsi="宋体" w:eastAsia="仿宋_GB2312"/>
          <w:color w:val="auto"/>
          <w:szCs w:val="21"/>
        </w:rPr>
        <w:t>、报名时间：</w:t>
      </w:r>
      <w:r>
        <w:rPr>
          <w:rFonts w:hint="eastAsia" w:ascii="仿宋_GB2312" w:hAnsi="宋体" w:eastAsia="仿宋_GB2312"/>
          <w:color w:val="auto"/>
          <w:szCs w:val="21"/>
          <w:lang w:val="en-US" w:eastAsia="zh-CN"/>
        </w:rPr>
        <w:t>2023年4月6</w:t>
      </w:r>
      <w:r>
        <w:rPr>
          <w:rFonts w:hint="eastAsia" w:ascii="仿宋_GB2312" w:hAnsi="宋体" w:eastAsia="仿宋_GB2312"/>
          <w:color w:val="auto"/>
          <w:szCs w:val="21"/>
          <w:lang w:val="en-US" w:eastAsia="zh-CN"/>
        </w:rPr>
        <w:t>日</w:t>
      </w:r>
      <w:r>
        <w:rPr>
          <w:rFonts w:hint="eastAsia" w:ascii="仿宋_GB2312" w:hAnsi="宋体" w:eastAsia="仿宋_GB2312"/>
          <w:color w:val="auto"/>
          <w:szCs w:val="21"/>
        </w:rPr>
        <w:t>9:00- 17:</w:t>
      </w:r>
      <w:r>
        <w:rPr>
          <w:rFonts w:hint="eastAsia" w:ascii="仿宋_GB2312" w:hAnsi="宋体" w:eastAsia="仿宋_GB2312"/>
          <w:color w:val="auto"/>
          <w:szCs w:val="21"/>
          <w:lang w:val="en-US" w:eastAsia="zh-CN"/>
        </w:rPr>
        <w:t>0</w:t>
      </w:r>
      <w:r>
        <w:rPr>
          <w:rFonts w:hint="eastAsia" w:ascii="仿宋_GB2312" w:hAnsi="宋体" w:eastAsia="仿宋_GB2312"/>
          <w:color w:val="auto"/>
          <w:szCs w:val="21"/>
        </w:rPr>
        <w:t>0止（上班期间）。</w:t>
      </w:r>
      <w:r>
        <w:rPr>
          <w:rFonts w:hint="eastAsia" w:ascii="仿宋_GB2312" w:hAnsi="宋体" w:eastAsia="仿宋_GB2312" w:cs="Times New Roman"/>
          <w:color w:val="auto"/>
          <w:szCs w:val="21"/>
          <w:lang w:val="en-US" w:eastAsia="zh-CN"/>
        </w:rPr>
        <w:t>报名须提供有效身份证件及竞买保证金交纳证明等相关材料并根据青田县砂石料行业综合整治工作领导小组发布的《青田县“工程采矿”砂石资源管理办法》的相关规定。竞</w:t>
      </w:r>
      <w:r>
        <w:rPr>
          <w:rFonts w:hint="eastAsia" w:ascii="仿宋_GB2312" w:hAnsi="宋体" w:eastAsia="仿宋_GB2312" w:cs="Times New Roman"/>
          <w:color w:val="auto"/>
          <w:szCs w:val="21"/>
          <w:lang w:val="zh-CN" w:eastAsia="zh-CN"/>
        </w:rPr>
        <w:t>买对象报名须提供以下材料：</w:t>
      </w:r>
      <w:r>
        <w:rPr>
          <w:rFonts w:hint="eastAsia" w:ascii="仿宋_GB2312" w:hAnsi="宋体" w:eastAsia="仿宋_GB2312" w:cs="Times New Roman"/>
          <w:color w:val="auto"/>
          <w:szCs w:val="21"/>
          <w:lang w:val="en-US" w:eastAsia="zh-CN"/>
        </w:rPr>
        <w:t>1.法定代表人报名</w:t>
      </w:r>
      <w:r>
        <w:rPr>
          <w:rFonts w:hint="eastAsia" w:ascii="仿宋_GB2312" w:hAnsi="宋体" w:eastAsia="仿宋_GB2312" w:cs="Times New Roman"/>
          <w:szCs w:val="21"/>
          <w:lang w:val="en-US" w:eastAsia="zh-CN"/>
        </w:rPr>
        <w:t>须提供法定代表人身份证复印件加盖公章，委托人报名须提供法定代表人身份证复印件、委托人身份证复印件及授权委托书加盖公章。2.经县自然资源和规划局批准且与砂石堆放用途一致的合法用地手续。3.与砂石资源经营范围相关的营业执照。4.取得砂石加工、堆放（建设项目）相关的环保手续。5.</w:t>
      </w:r>
      <w:r>
        <w:rPr>
          <w:rFonts w:hint="eastAsia" w:ascii="仿宋_GB2312" w:hAnsi="宋体" w:eastAsia="仿宋_GB2312" w:cs="Times New Roman"/>
          <w:szCs w:val="21"/>
          <w:lang w:val="zh-CN" w:eastAsia="zh-CN"/>
        </w:rPr>
        <w:t>工程项目建设单位（施工方）可参与本工程自用多余砂石料的竞拍，建设（施工方）单位须提供相关证明材料（包括不限于中标通知书、委托施工建设合同、施工资质等相关材料）。</w:t>
      </w:r>
      <w:r>
        <w:rPr>
          <w:rFonts w:hint="eastAsia" w:ascii="仿宋_GB2312" w:hAnsi="宋体" w:eastAsia="仿宋_GB2312" w:cs="Times New Roman"/>
          <w:szCs w:val="21"/>
          <w:lang w:eastAsia="zh-CN"/>
        </w:rPr>
        <w:t>报</w:t>
      </w:r>
      <w:r>
        <w:rPr>
          <w:rFonts w:hint="eastAsia" w:ascii="仿宋_GB2312" w:hAnsi="宋体" w:eastAsia="仿宋_GB2312"/>
          <w:color w:val="000000"/>
          <w:szCs w:val="21"/>
          <w:lang w:eastAsia="zh-CN"/>
        </w:rPr>
        <w:t>名时，每份竞买保证金须交纳资料费</w:t>
      </w:r>
      <w:r>
        <w:rPr>
          <w:rFonts w:hint="eastAsia" w:ascii="仿宋_GB2312" w:hAnsi="宋体" w:eastAsia="仿宋_GB2312"/>
          <w:color w:val="000000"/>
          <w:szCs w:val="21"/>
          <w:lang w:val="en-US" w:eastAsia="zh-CN"/>
        </w:rPr>
        <w:t>5</w:t>
      </w:r>
      <w:r>
        <w:rPr>
          <w:rFonts w:hint="eastAsia" w:ascii="仿宋_GB2312" w:hAnsi="宋体" w:eastAsia="仿宋_GB2312"/>
          <w:color w:val="000000"/>
          <w:szCs w:val="21"/>
          <w:lang w:eastAsia="zh-CN"/>
        </w:rPr>
        <w:t>00元（售后不退）。</w:t>
      </w:r>
    </w:p>
    <w:p>
      <w:pPr>
        <w:spacing w:line="360" w:lineRule="auto"/>
        <w:ind w:firstLine="420" w:firstLineChars="200"/>
        <w:rPr>
          <w:rFonts w:hint="eastAsia" w:ascii="仿宋_GB2312" w:hAnsi="宋体" w:eastAsia="仿宋_GB2312"/>
          <w:color w:val="000000"/>
          <w:szCs w:val="21"/>
        </w:rPr>
      </w:pPr>
      <w:r>
        <w:rPr>
          <w:rFonts w:hint="eastAsia" w:ascii="仿宋_GB2312" w:hAnsi="宋体" w:eastAsia="仿宋_GB2312"/>
          <w:color w:val="000000"/>
          <w:szCs w:val="21"/>
          <w:lang w:eastAsia="zh-CN"/>
        </w:rPr>
        <w:t>五</w:t>
      </w:r>
      <w:r>
        <w:rPr>
          <w:rFonts w:hint="eastAsia" w:ascii="仿宋_GB2312" w:hAnsi="宋体" w:eastAsia="仿宋_GB2312"/>
          <w:color w:val="000000"/>
          <w:szCs w:val="21"/>
        </w:rPr>
        <w:t>、竞买保证金： 1号标的竞</w:t>
      </w:r>
      <w:r>
        <w:rPr>
          <w:rFonts w:hint="eastAsia" w:ascii="仿宋_GB2312" w:hAnsi="宋体" w:eastAsia="仿宋_GB2312"/>
          <w:color w:val="auto"/>
          <w:szCs w:val="21"/>
        </w:rPr>
        <w:t>买保证金</w:t>
      </w:r>
      <w:r>
        <w:rPr>
          <w:rFonts w:hint="eastAsia" w:ascii="仿宋_GB2312" w:hAnsi="宋体" w:eastAsia="仿宋_GB2312"/>
          <w:color w:val="auto"/>
          <w:szCs w:val="21"/>
          <w:lang w:val="en-US" w:eastAsia="zh-CN"/>
        </w:rPr>
        <w:t>35</w:t>
      </w:r>
      <w:r>
        <w:rPr>
          <w:rFonts w:hint="eastAsia" w:ascii="仿宋_GB2312" w:hAnsi="宋体" w:eastAsia="仿宋_GB2312"/>
          <w:color w:val="auto"/>
          <w:szCs w:val="21"/>
        </w:rPr>
        <w:t>万元。竞</w:t>
      </w:r>
      <w:r>
        <w:rPr>
          <w:rFonts w:hint="eastAsia" w:ascii="仿宋_GB2312" w:hAnsi="宋体" w:eastAsia="仿宋_GB2312"/>
          <w:szCs w:val="21"/>
        </w:rPr>
        <w:t>买保证金交入账户：青田县政府采购招投标交易中心招投标专户，开户银行：浙江青田农村商业银行股份有限公司塔山支行，账号：201000013802556，开户行号：402343200258。保证金须于标的报名截止时间前交入上述账户。竞买人须以本人名义交纳竞买保证金。交纳保证金时，需在进账单凭证上明确用途，并注明联系人及电话，以便查对核实。</w:t>
      </w:r>
    </w:p>
    <w:p>
      <w:pPr>
        <w:spacing w:line="360" w:lineRule="auto"/>
        <w:ind w:firstLine="367" w:firstLineChars="175"/>
        <w:rPr>
          <w:rFonts w:hint="eastAsia" w:ascii="仿宋_GB2312" w:hAnsi="宋体" w:eastAsia="仿宋_GB2312"/>
          <w:color w:val="000000"/>
          <w:szCs w:val="21"/>
          <w:lang w:eastAsia="zh-CN"/>
        </w:rPr>
      </w:pPr>
      <w:r>
        <w:rPr>
          <w:rFonts w:hint="eastAsia" w:ascii="仿宋_GB2312" w:hAnsi="宋体" w:eastAsia="仿宋_GB2312"/>
          <w:color w:val="000000"/>
          <w:szCs w:val="21"/>
        </w:rPr>
        <w:t>六、报名地点</w:t>
      </w:r>
      <w:r>
        <w:rPr>
          <w:rFonts w:hint="eastAsia" w:ascii="仿宋_GB2312" w:hAnsi="宋体" w:eastAsia="仿宋_GB2312"/>
          <w:color w:val="auto"/>
          <w:szCs w:val="21"/>
        </w:rPr>
        <w:t>:</w:t>
      </w:r>
      <w:r>
        <w:rPr>
          <w:rFonts w:hint="eastAsia" w:ascii="仿宋_GB2312" w:hAnsi="宋体" w:eastAsia="仿宋_GB2312"/>
          <w:color w:val="auto"/>
          <w:szCs w:val="21"/>
          <w:lang w:eastAsia="zh-CN"/>
        </w:rPr>
        <w:t>青田县瓯南街道百悦城5幢（华侨总部经济大楼）12楼招投标中心咨询台</w:t>
      </w:r>
    </w:p>
    <w:p>
      <w:pPr>
        <w:spacing w:line="360" w:lineRule="auto"/>
        <w:ind w:firstLine="420" w:firstLineChars="200"/>
        <w:rPr>
          <w:rFonts w:hint="eastAsia" w:ascii="仿宋_GB2312" w:hAnsi="宋体" w:eastAsia="仿宋_GB2312"/>
          <w:color w:val="000000"/>
          <w:szCs w:val="21"/>
        </w:rPr>
      </w:pPr>
      <w:r>
        <w:rPr>
          <w:rFonts w:hint="eastAsia" w:ascii="仿宋_GB2312" w:hAnsi="宋体" w:eastAsia="仿宋_GB2312"/>
          <w:color w:val="000000"/>
          <w:szCs w:val="21"/>
        </w:rPr>
        <w:t>七、联系电话：</w:t>
      </w:r>
      <w:r>
        <w:rPr>
          <w:rFonts w:hint="eastAsia" w:ascii="仿宋_GB2312" w:hAnsi="宋体" w:eastAsia="仿宋_GB2312"/>
          <w:color w:val="000000"/>
          <w:szCs w:val="21"/>
          <w:lang w:val="en-US" w:eastAsia="zh-CN"/>
        </w:rPr>
        <w:t>丽水中侨拍卖行有限公司</w:t>
      </w:r>
      <w:r>
        <w:rPr>
          <w:rFonts w:hint="eastAsia" w:ascii="仿宋_GB2312" w:hAnsi="宋体" w:eastAsia="仿宋_GB2312"/>
          <w:color w:val="000000"/>
          <w:szCs w:val="21"/>
        </w:rPr>
        <w:t>：</w:t>
      </w:r>
      <w:r>
        <w:rPr>
          <w:rFonts w:hint="eastAsia" w:ascii="仿宋_GB2312" w:hAnsi="宋体" w:eastAsia="仿宋_GB2312"/>
          <w:color w:val="000000"/>
          <w:szCs w:val="21"/>
          <w:lang w:eastAsia="zh-CN"/>
        </w:rPr>
        <w:t>黄</w:t>
      </w:r>
      <w:r>
        <w:rPr>
          <w:rFonts w:hint="eastAsia" w:ascii="仿宋_GB2312" w:hAnsi="宋体" w:eastAsia="仿宋_GB2312"/>
          <w:color w:val="000000"/>
          <w:szCs w:val="21"/>
          <w:lang w:val="en-US" w:eastAsia="zh-CN"/>
        </w:rPr>
        <w:t>女士</w:t>
      </w:r>
      <w:r>
        <w:rPr>
          <w:rFonts w:hint="eastAsia" w:ascii="仿宋_GB2312" w:hAnsi="宋体" w:eastAsia="仿宋_GB2312"/>
          <w:color w:val="000000"/>
          <w:szCs w:val="21"/>
        </w:rPr>
        <w:t xml:space="preserve"> 1</w:t>
      </w:r>
      <w:r>
        <w:rPr>
          <w:rFonts w:hint="eastAsia" w:ascii="仿宋_GB2312" w:hAnsi="宋体" w:eastAsia="仿宋_GB2312"/>
          <w:color w:val="000000"/>
          <w:szCs w:val="21"/>
          <w:lang w:val="en-US" w:eastAsia="zh-CN"/>
        </w:rPr>
        <w:t>5805887972</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637972</w:t>
      </w:r>
      <w:r>
        <w:rPr>
          <w:rFonts w:hint="eastAsia" w:ascii="仿宋_GB2312" w:hAnsi="宋体" w:eastAsia="仿宋_GB2312"/>
          <w:color w:val="000000"/>
          <w:szCs w:val="21"/>
        </w:rPr>
        <w:t>）</w:t>
      </w:r>
    </w:p>
    <w:p>
      <w:pPr>
        <w:spacing w:line="360" w:lineRule="auto"/>
        <w:ind w:firstLine="5670" w:firstLineChars="2700"/>
        <w:rPr>
          <w:rFonts w:hint="eastAsia" w:ascii="仿宋_GB2312" w:hAnsi="宋体" w:eastAsia="仿宋_GB2312"/>
          <w:color w:val="000000"/>
          <w:szCs w:val="21"/>
          <w:lang w:val="en-US" w:eastAsia="zh-CN"/>
        </w:rPr>
      </w:pPr>
    </w:p>
    <w:p>
      <w:pPr>
        <w:spacing w:line="360" w:lineRule="auto"/>
        <w:ind w:firstLine="5670" w:firstLineChars="2700"/>
        <w:rPr>
          <w:rFonts w:hint="eastAsia" w:ascii="仿宋_GB2312" w:hAnsi="宋体" w:eastAsia="仿宋_GB2312"/>
          <w:color w:val="000000"/>
          <w:szCs w:val="21"/>
          <w:lang w:val="en-US" w:eastAsia="zh-CN"/>
        </w:rPr>
      </w:pPr>
    </w:p>
    <w:p>
      <w:pPr>
        <w:spacing w:line="360" w:lineRule="auto"/>
        <w:ind w:firstLine="5670" w:firstLineChars="2700"/>
        <w:rPr>
          <w:rFonts w:hint="eastAsia" w:ascii="仿宋_GB2312" w:hAnsi="宋体" w:eastAsia="仿宋_GB2312"/>
          <w:color w:val="auto"/>
          <w:szCs w:val="21"/>
          <w:lang w:val="en-US" w:eastAsia="zh-CN"/>
        </w:rPr>
      </w:pPr>
      <w:r>
        <w:rPr>
          <w:rFonts w:hint="eastAsia" w:ascii="仿宋_GB2312" w:hAnsi="宋体" w:eastAsia="仿宋_GB2312"/>
          <w:color w:val="auto"/>
          <w:szCs w:val="21"/>
          <w:lang w:val="en-US" w:eastAsia="zh-CN"/>
        </w:rPr>
        <w:t>丽水中侨拍卖行有限公司</w:t>
      </w:r>
    </w:p>
    <w:p>
      <w:pPr>
        <w:spacing w:line="360" w:lineRule="auto"/>
        <w:rPr>
          <w:rFonts w:hint="eastAsia" w:ascii="仿宋_GB2312" w:hAnsi="宋体" w:eastAsia="仿宋_GB2312"/>
          <w:szCs w:val="21"/>
        </w:rPr>
      </w:pPr>
      <w:r>
        <w:rPr>
          <w:rFonts w:hint="eastAsia" w:ascii="仿宋_GB2312" w:hAnsi="宋体" w:eastAsia="仿宋_GB2312"/>
          <w:color w:val="auto"/>
          <w:szCs w:val="21"/>
        </w:rPr>
        <w:t xml:space="preserve">                                                       </w:t>
      </w:r>
      <w:r>
        <w:rPr>
          <w:rFonts w:hint="eastAsia" w:ascii="仿宋_GB2312" w:hAnsi="宋体" w:eastAsia="仿宋_GB2312"/>
          <w:color w:val="auto"/>
          <w:szCs w:val="21"/>
          <w:lang w:val="en-US" w:eastAsia="zh-CN"/>
        </w:rPr>
        <w:t xml:space="preserve"> </w:t>
      </w:r>
      <w:r>
        <w:rPr>
          <w:rFonts w:ascii="仿宋_GB2312" w:hAnsi="宋体" w:eastAsia="仿宋_GB2312"/>
          <w:color w:val="auto"/>
          <w:szCs w:val="21"/>
        </w:rPr>
        <w:t>202</w:t>
      </w:r>
      <w:r>
        <w:rPr>
          <w:rFonts w:hint="eastAsia" w:ascii="仿宋_GB2312" w:hAnsi="宋体" w:eastAsia="仿宋_GB2312"/>
          <w:color w:val="auto"/>
          <w:szCs w:val="21"/>
          <w:lang w:val="en-US" w:eastAsia="zh-CN"/>
        </w:rPr>
        <w:t>3</w:t>
      </w:r>
      <w:r>
        <w:rPr>
          <w:rFonts w:ascii="仿宋_GB2312" w:hAnsi="宋体" w:eastAsia="仿宋_GB2312"/>
          <w:color w:val="auto"/>
          <w:szCs w:val="21"/>
        </w:rPr>
        <w:t>年</w:t>
      </w:r>
      <w:r>
        <w:rPr>
          <w:rFonts w:hint="eastAsia" w:ascii="仿宋_GB2312" w:hAnsi="宋体" w:eastAsia="仿宋_GB2312"/>
          <w:color w:val="auto"/>
          <w:szCs w:val="21"/>
          <w:lang w:val="en-US" w:eastAsia="zh-CN"/>
        </w:rPr>
        <w:t>3</w:t>
      </w:r>
      <w:r>
        <w:rPr>
          <w:rFonts w:ascii="仿宋_GB2312" w:hAnsi="宋体" w:eastAsia="仿宋_GB2312"/>
          <w:color w:val="auto"/>
          <w:szCs w:val="21"/>
        </w:rPr>
        <w:t>月</w:t>
      </w:r>
      <w:r>
        <w:rPr>
          <w:rFonts w:hint="eastAsia" w:ascii="仿宋_GB2312" w:hAnsi="宋体" w:eastAsia="仿宋_GB2312"/>
          <w:color w:val="auto"/>
          <w:szCs w:val="21"/>
          <w:lang w:val="en-US" w:eastAsia="zh-CN"/>
        </w:rPr>
        <w:t>8</w:t>
      </w:r>
      <w:r>
        <w:rPr>
          <w:rFonts w:ascii="仿宋_GB2312" w:hAnsi="宋体" w:eastAsia="仿宋_GB2312"/>
          <w:color w:val="auto"/>
          <w:szCs w:val="21"/>
        </w:rPr>
        <w:t>日</w:t>
      </w:r>
      <w:r>
        <w:rPr>
          <w:rFonts w:hint="eastAsia" w:ascii="仿宋_GB2312" w:hAnsi="宋体" w:eastAsia="仿宋_GB2312"/>
          <w:color w:val="auto"/>
          <w:szCs w:val="21"/>
        </w:rPr>
        <w:t xml:space="preserve">  </w:t>
      </w:r>
    </w:p>
    <w:p>
      <w:pPr>
        <w:spacing w:line="360" w:lineRule="auto"/>
        <w:ind w:firstLine="420" w:firstLineChars="200"/>
        <w:rPr>
          <w:rFonts w:ascii="仿宋_GB2312" w:hAnsi="宋体" w:eastAsia="仿宋_GB2312"/>
          <w:sz w:val="24"/>
          <w:szCs w:val="24"/>
        </w:rPr>
        <w:sectPr>
          <w:footerReference r:id="rId9" w:type="default"/>
          <w:endnotePr>
            <w:numFmt w:val="decimal"/>
          </w:endnotePr>
          <w:pgSz w:w="11906" w:h="16838"/>
          <w:pgMar w:top="1134" w:right="1134" w:bottom="1134" w:left="1134" w:header="567" w:footer="567" w:gutter="0"/>
          <w:pgNumType w:fmt="decimal"/>
          <w:cols w:space="720" w:num="1"/>
          <w:docGrid w:linePitch="312" w:charSpace="0"/>
        </w:sectPr>
      </w:pPr>
      <w:r>
        <w:rPr>
          <w:rFonts w:hint="eastAsia" w:ascii="仿宋_GB2312" w:hAnsi="宋体" w:eastAsia="仿宋_GB2312"/>
          <w:szCs w:val="21"/>
        </w:rPr>
        <w:t xml:space="preserve">    </w:t>
      </w:r>
    </w:p>
    <w:p>
      <w:pPr>
        <w:pStyle w:val="2"/>
        <w:numPr>
          <w:ilvl w:val="0"/>
          <w:numId w:val="2"/>
        </w:numPr>
        <w:spacing w:before="120" w:beforeLines="50" w:after="120" w:afterLines="50" w:line="360" w:lineRule="auto"/>
        <w:ind w:left="105" w:leftChars="50" w:firstLine="0"/>
        <w:jc w:val="center"/>
        <w:rPr>
          <w:rFonts w:hint="eastAsia" w:ascii="宋体" w:hAnsi="宋体"/>
          <w:sz w:val="36"/>
          <w:szCs w:val="36"/>
        </w:rPr>
      </w:pPr>
      <w:bookmarkStart w:id="4" w:name="_Toc476475364"/>
      <w:r>
        <w:rPr>
          <w:rFonts w:hint="eastAsia"/>
          <w:sz w:val="36"/>
          <w:szCs w:val="36"/>
        </w:rPr>
        <w:t xml:space="preserve"> </w:t>
      </w:r>
      <w:r>
        <w:rPr>
          <w:rFonts w:hint="eastAsia"/>
          <w:sz w:val="36"/>
          <w:szCs w:val="36"/>
          <w:lang w:eastAsia="zh-CN"/>
        </w:rPr>
        <w:t>砂石料</w:t>
      </w:r>
      <w:r>
        <w:rPr>
          <w:rFonts w:hint="eastAsia" w:ascii="宋体" w:hAnsi="宋体"/>
          <w:sz w:val="36"/>
          <w:szCs w:val="36"/>
        </w:rPr>
        <w:t>竞买须知</w:t>
      </w:r>
      <w:bookmarkEnd w:id="4"/>
    </w:p>
    <w:p>
      <w:pPr>
        <w:rPr>
          <w:rFonts w:hint="eastAsia"/>
          <w:color w:val="000000"/>
        </w:rPr>
      </w:pP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根据《中华人民共和国拍卖法》以及相关法律法规和行业惯例制定本须知，以明确拍卖活动当事人的权利、义务，并对本次拍卖有关事项进行约定。本次拍卖活动严格遵循“公开、公平、公正、诚实信用”的原则。拍卖活动各环节均具有相应法律效力。</w:t>
      </w:r>
    </w:p>
    <w:p>
      <w:pPr>
        <w:numPr>
          <w:ilvl w:val="0"/>
          <w:numId w:val="3"/>
        </w:numPr>
        <w:spacing w:line="360" w:lineRule="auto"/>
        <w:rPr>
          <w:rFonts w:hint="eastAsia" w:ascii="宋体" w:hAnsi="宋体"/>
          <w:color w:val="000000"/>
          <w:sz w:val="24"/>
          <w:szCs w:val="24"/>
        </w:rPr>
      </w:pPr>
      <w:r>
        <w:rPr>
          <w:rFonts w:hint="eastAsia" w:ascii="宋体" w:hAnsi="宋体"/>
          <w:color w:val="000000"/>
          <w:sz w:val="24"/>
          <w:szCs w:val="24"/>
        </w:rPr>
        <w:t>拍卖标的</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本项目</w:t>
      </w:r>
      <w:r>
        <w:rPr>
          <w:rFonts w:hint="eastAsia" w:ascii="宋体" w:hAnsi="宋体"/>
          <w:color w:val="000000"/>
          <w:sz w:val="24"/>
          <w:szCs w:val="24"/>
          <w:lang w:eastAsia="zh-CN"/>
        </w:rPr>
        <w:t>砂石料</w:t>
      </w:r>
      <w:r>
        <w:rPr>
          <w:rFonts w:hint="eastAsia" w:ascii="宋体" w:hAnsi="宋体"/>
          <w:color w:val="000000"/>
          <w:sz w:val="24"/>
          <w:szCs w:val="24"/>
        </w:rPr>
        <w:t>总计约</w:t>
      </w:r>
      <w:r>
        <w:rPr>
          <w:rFonts w:hint="eastAsia" w:ascii="宋体" w:hAnsi="宋体"/>
          <w:color w:val="000000"/>
          <w:sz w:val="24"/>
          <w:szCs w:val="24"/>
          <w:lang w:val="en-US" w:eastAsia="zh-CN"/>
        </w:rPr>
        <w:t>10.84万</w:t>
      </w:r>
      <w:r>
        <w:rPr>
          <w:rFonts w:hint="eastAsia" w:ascii="宋体" w:hAnsi="宋体"/>
          <w:color w:val="000000"/>
          <w:sz w:val="24"/>
          <w:szCs w:val="24"/>
          <w:lang w:eastAsia="zh-CN"/>
        </w:rPr>
        <w:t>吨</w:t>
      </w:r>
      <w:r>
        <w:rPr>
          <w:rFonts w:hint="eastAsia" w:ascii="宋体" w:hAnsi="宋体"/>
          <w:color w:val="000000"/>
          <w:sz w:val="24"/>
          <w:szCs w:val="24"/>
        </w:rPr>
        <w:t>，</w:t>
      </w:r>
      <w:r>
        <w:rPr>
          <w:rFonts w:hint="eastAsia" w:ascii="宋体" w:hAnsi="宋体"/>
          <w:color w:val="000000"/>
          <w:sz w:val="24"/>
          <w:szCs w:val="24"/>
          <w:lang w:eastAsia="zh-CN"/>
        </w:rPr>
        <w:t>土方方</w:t>
      </w:r>
      <w:r>
        <w:rPr>
          <w:rFonts w:hint="eastAsia" w:ascii="宋体" w:hAnsi="宋体"/>
          <w:color w:val="000000"/>
          <w:sz w:val="24"/>
          <w:szCs w:val="24"/>
        </w:rPr>
        <w:t>量测算如下表：</w:t>
      </w:r>
    </w:p>
    <w:tbl>
      <w:tblPr>
        <w:tblStyle w:val="11"/>
        <w:tblW w:w="100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2821"/>
        <w:gridCol w:w="1974"/>
        <w:gridCol w:w="1380"/>
        <w:gridCol w:w="144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5" w:hRule="atLeast"/>
        </w:trPr>
        <w:tc>
          <w:tcPr>
            <w:tcW w:w="860" w:type="dxa"/>
            <w:noWrap w:val="0"/>
            <w:vAlign w:val="center"/>
          </w:tcPr>
          <w:p>
            <w:pPr>
              <w:spacing w:line="360" w:lineRule="auto"/>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序号</w:t>
            </w:r>
          </w:p>
        </w:tc>
        <w:tc>
          <w:tcPr>
            <w:tcW w:w="2821" w:type="dxa"/>
            <w:noWrap w:val="0"/>
            <w:vAlign w:val="center"/>
          </w:tcPr>
          <w:p>
            <w:pPr>
              <w:spacing w:line="360" w:lineRule="auto"/>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区段</w:t>
            </w:r>
          </w:p>
        </w:tc>
        <w:tc>
          <w:tcPr>
            <w:tcW w:w="1974" w:type="dxa"/>
            <w:noWrap w:val="0"/>
            <w:vAlign w:val="center"/>
          </w:tcPr>
          <w:p>
            <w:pPr>
              <w:spacing w:line="360" w:lineRule="auto"/>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开挖类型</w:t>
            </w:r>
          </w:p>
        </w:tc>
        <w:tc>
          <w:tcPr>
            <w:tcW w:w="1380" w:type="dxa"/>
            <w:noWrap w:val="0"/>
            <w:vAlign w:val="center"/>
          </w:tcPr>
          <w:p>
            <w:pPr>
              <w:spacing w:line="360" w:lineRule="auto"/>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重量（万吨）</w:t>
            </w:r>
          </w:p>
        </w:tc>
        <w:tc>
          <w:tcPr>
            <w:tcW w:w="1440" w:type="dxa"/>
            <w:noWrap w:val="0"/>
            <w:vAlign w:val="center"/>
          </w:tcPr>
          <w:p>
            <w:pPr>
              <w:spacing w:line="360" w:lineRule="auto"/>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单价（元/吨）</w:t>
            </w:r>
          </w:p>
          <w:p>
            <w:pPr>
              <w:spacing w:line="360" w:lineRule="auto"/>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（不含税）</w:t>
            </w:r>
          </w:p>
        </w:tc>
        <w:tc>
          <w:tcPr>
            <w:tcW w:w="1530" w:type="dxa"/>
            <w:noWrap w:val="0"/>
            <w:vAlign w:val="center"/>
          </w:tcPr>
          <w:p>
            <w:pPr>
              <w:spacing w:line="360" w:lineRule="auto"/>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起拍价（万元）</w:t>
            </w:r>
          </w:p>
          <w:p>
            <w:pPr>
              <w:spacing w:line="360" w:lineRule="auto"/>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860" w:type="dxa"/>
            <w:noWrap w:val="0"/>
            <w:vAlign w:val="center"/>
          </w:tcPr>
          <w:p>
            <w:pPr>
              <w:spacing w:line="360" w:lineRule="auto"/>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1</w:t>
            </w:r>
          </w:p>
        </w:tc>
        <w:tc>
          <w:tcPr>
            <w:tcW w:w="2821" w:type="dxa"/>
            <w:noWrap w:val="0"/>
            <w:vAlign w:val="center"/>
          </w:tcPr>
          <w:p>
            <w:pPr>
              <w:spacing w:line="240" w:lineRule="auto"/>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青田县东堡山华侨文化旅游项目二期地块边坡工程开挖砂石料</w:t>
            </w:r>
          </w:p>
        </w:tc>
        <w:tc>
          <w:tcPr>
            <w:tcW w:w="1974" w:type="dxa"/>
            <w:noWrap w:val="0"/>
            <w:vAlign w:val="center"/>
          </w:tcPr>
          <w:p>
            <w:pPr>
              <w:spacing w:line="360" w:lineRule="auto"/>
              <w:jc w:val="center"/>
              <w:rPr>
                <w:rFonts w:hint="default"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石料矿（中风化岩）</w:t>
            </w:r>
          </w:p>
        </w:tc>
        <w:tc>
          <w:tcPr>
            <w:tcW w:w="1380" w:type="dxa"/>
            <w:noWrap w:val="0"/>
            <w:vAlign w:val="center"/>
          </w:tcPr>
          <w:p>
            <w:pPr>
              <w:spacing w:line="360" w:lineRule="auto"/>
              <w:jc w:val="center"/>
              <w:rPr>
                <w:rFonts w:hint="default" w:ascii="宋体" w:hAnsi="宋体" w:eastAsia="宋体" w:cs="宋体"/>
                <w:color w:val="000000"/>
                <w:sz w:val="24"/>
                <w:szCs w:val="24"/>
                <w:lang w:val="en-US" w:eastAsia="zh-CN"/>
              </w:rPr>
            </w:pPr>
            <w:r>
              <w:rPr>
                <w:rFonts w:hint="eastAsia" w:ascii="仿宋_GB2312" w:hAnsi="宋体" w:eastAsia="仿宋_GB2312" w:cs="Times New Roman"/>
                <w:szCs w:val="21"/>
                <w:lang w:val="en-US" w:eastAsia="zh-CN"/>
              </w:rPr>
              <w:t>10.84</w:t>
            </w:r>
          </w:p>
        </w:tc>
        <w:tc>
          <w:tcPr>
            <w:tcW w:w="1440" w:type="dxa"/>
            <w:noWrap w:val="0"/>
            <w:vAlign w:val="center"/>
          </w:tcPr>
          <w:p>
            <w:pPr>
              <w:spacing w:line="360" w:lineRule="auto"/>
              <w:jc w:val="center"/>
              <w:rPr>
                <w:rFonts w:hint="default" w:ascii="宋体" w:hAnsi="宋体" w:eastAsia="宋体" w:cs="宋体"/>
                <w:color w:val="000000"/>
                <w:sz w:val="24"/>
                <w:szCs w:val="24"/>
                <w:lang w:val="en-US" w:eastAsia="zh-CN"/>
              </w:rPr>
            </w:pPr>
            <w:r>
              <w:rPr>
                <w:rFonts w:hint="eastAsia" w:ascii="仿宋_GB2312" w:hAnsi="宋体" w:eastAsia="仿宋_GB2312" w:cs="Times New Roman"/>
                <w:szCs w:val="21"/>
                <w:lang w:val="en-US" w:eastAsia="zh-CN"/>
              </w:rPr>
              <w:t>16.1</w:t>
            </w:r>
          </w:p>
        </w:tc>
        <w:tc>
          <w:tcPr>
            <w:tcW w:w="1530" w:type="dxa"/>
            <w:noWrap w:val="0"/>
            <w:vAlign w:val="center"/>
          </w:tcPr>
          <w:p>
            <w:pPr>
              <w:spacing w:line="360" w:lineRule="auto"/>
              <w:jc w:val="center"/>
              <w:rPr>
                <w:rFonts w:hint="default" w:ascii="宋体" w:hAnsi="宋体" w:eastAsia="宋体" w:cs="宋体"/>
                <w:color w:val="000000"/>
                <w:kern w:val="2"/>
                <w:sz w:val="24"/>
                <w:szCs w:val="24"/>
                <w:lang w:val="en-US" w:eastAsia="zh-CN" w:bidi="ar-SA"/>
              </w:rPr>
            </w:pPr>
            <w:r>
              <w:rPr>
                <w:rFonts w:hint="eastAsia" w:ascii="仿宋_GB2312" w:hAnsi="宋体" w:eastAsia="仿宋_GB2312" w:cs="Times New Roman"/>
                <w:szCs w:val="21"/>
                <w:lang w:val="en-US" w:eastAsia="zh-CN"/>
              </w:rPr>
              <w:t>174.524</w:t>
            </w:r>
          </w:p>
        </w:tc>
      </w:tr>
    </w:tbl>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▲上述标的竞买人数不足三家的，将取消该标的拍卖。</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▲届时请上述标的物的相关权利人到场，缺席视为自行放弃权利。</w:t>
      </w:r>
    </w:p>
    <w:p>
      <w:pPr>
        <w:spacing w:line="360" w:lineRule="auto"/>
        <w:ind w:firstLine="240" w:firstLineChars="100"/>
        <w:rPr>
          <w:rFonts w:hint="eastAsia" w:ascii="宋体" w:hAnsi="宋体"/>
          <w:color w:val="000000"/>
          <w:sz w:val="24"/>
          <w:szCs w:val="24"/>
        </w:rPr>
      </w:pPr>
      <w:r>
        <w:rPr>
          <w:rFonts w:hint="eastAsia" w:ascii="宋体" w:hAnsi="宋体"/>
          <w:color w:val="000000"/>
          <w:sz w:val="24"/>
          <w:szCs w:val="24"/>
        </w:rPr>
        <w:t>二、竞买登记及报名</w:t>
      </w:r>
    </w:p>
    <w:p>
      <w:pPr>
        <w:spacing w:line="520" w:lineRule="exact"/>
        <w:ind w:firstLine="480" w:firstLineChars="200"/>
        <w:rPr>
          <w:rFonts w:hint="eastAsia" w:ascii="宋体" w:hAnsi="宋体"/>
          <w:color w:val="000000"/>
          <w:sz w:val="24"/>
          <w:szCs w:val="24"/>
        </w:rPr>
      </w:pPr>
      <w:r>
        <w:rPr>
          <w:rFonts w:hint="eastAsia" w:ascii="宋体" w:hAnsi="宋体"/>
          <w:color w:val="000000"/>
          <w:sz w:val="24"/>
          <w:szCs w:val="24"/>
        </w:rPr>
        <w:t>1、办理竞买申请登记时意向竞买人需提交以下材料：</w:t>
      </w:r>
    </w:p>
    <w:p>
      <w:pPr>
        <w:spacing w:line="520" w:lineRule="exact"/>
        <w:ind w:firstLine="480" w:firstLineChars="200"/>
        <w:rPr>
          <w:rFonts w:hint="eastAsia" w:ascii="宋体" w:hAnsi="宋体" w:eastAsia="宋体" w:cs="Times New Roman"/>
          <w:color w:val="000000"/>
          <w:sz w:val="24"/>
          <w:szCs w:val="24"/>
          <w:lang w:val="zh-CN"/>
        </w:rPr>
      </w:pPr>
      <w:r>
        <w:rPr>
          <w:rFonts w:hint="eastAsia" w:ascii="宋体" w:hAnsi="宋体"/>
          <w:color w:val="000000"/>
          <w:sz w:val="24"/>
          <w:szCs w:val="24"/>
        </w:rPr>
        <w:t>①企事业单位：</w:t>
      </w:r>
      <w:r>
        <w:rPr>
          <w:rFonts w:hint="eastAsia" w:ascii="宋体" w:hAnsi="宋体" w:eastAsia="宋体" w:cs="Times New Roman"/>
          <w:color w:val="000000"/>
          <w:sz w:val="24"/>
          <w:szCs w:val="24"/>
          <w:lang w:val="zh-CN"/>
        </w:rPr>
        <w:t>竞买对象报名须提供以下材料：</w:t>
      </w:r>
      <w:r>
        <w:rPr>
          <w:rFonts w:hint="eastAsia" w:ascii="宋体" w:hAnsi="宋体" w:eastAsia="宋体" w:cs="Times New Roman"/>
          <w:color w:val="000000"/>
          <w:sz w:val="24"/>
          <w:szCs w:val="24"/>
          <w:lang w:val="en-US" w:eastAsia="zh-CN"/>
        </w:rPr>
        <w:t>法定代表人报名须提供法定代表人身份证复印件加盖公章，委托人报名须提供法定代表人身份证复印件、委托人身份证复印件及授权委托书加盖公章；经县自然资源和规划局批准且与砂石堆放用途一致的合法用地手续；与砂石资源经营范围相关的营业执照；取得砂石加工、堆放（建设项目）相关的环保手续；</w:t>
      </w:r>
      <w:r>
        <w:rPr>
          <w:rFonts w:hint="eastAsia" w:ascii="宋体" w:hAnsi="宋体" w:eastAsia="宋体" w:cs="Times New Roman"/>
          <w:color w:val="000000"/>
          <w:sz w:val="24"/>
          <w:szCs w:val="24"/>
          <w:lang w:val="zh-CN"/>
        </w:rPr>
        <w:t>工程项目建设单位（施工方）可参与本工程自用多余砂石料的竞拍，</w:t>
      </w:r>
      <w:r>
        <w:rPr>
          <w:rFonts w:hint="eastAsia" w:ascii="宋体" w:hAnsi="宋体" w:eastAsia="宋体" w:cs="Times New Roman"/>
          <w:color w:val="000000"/>
          <w:sz w:val="24"/>
          <w:szCs w:val="24"/>
          <w:lang w:val="zh-CN" w:eastAsia="zh-CN"/>
        </w:rPr>
        <w:t>建设（施工方）单位须提供相关证明材料（包括不限于中标通知书、委托施工建设合同</w:t>
      </w:r>
      <w:r>
        <w:rPr>
          <w:rFonts w:hint="eastAsia" w:ascii="宋体" w:hAnsi="宋体" w:cs="Times New Roman"/>
          <w:color w:val="000000"/>
          <w:sz w:val="24"/>
          <w:szCs w:val="24"/>
          <w:lang w:val="zh-CN" w:eastAsia="zh-CN"/>
        </w:rPr>
        <w:t>、施工资质</w:t>
      </w:r>
      <w:r>
        <w:rPr>
          <w:rFonts w:hint="eastAsia" w:ascii="宋体" w:hAnsi="宋体" w:eastAsia="宋体" w:cs="Times New Roman"/>
          <w:color w:val="000000"/>
          <w:sz w:val="24"/>
          <w:szCs w:val="24"/>
          <w:lang w:val="zh-CN" w:eastAsia="zh-CN"/>
        </w:rPr>
        <w:t>等相关材料）。</w:t>
      </w:r>
      <w:r>
        <w:rPr>
          <w:rFonts w:hint="eastAsia" w:ascii="宋体" w:hAnsi="宋体" w:eastAsia="宋体" w:cs="Times New Roman"/>
          <w:color w:val="000000"/>
          <w:sz w:val="24"/>
          <w:szCs w:val="24"/>
          <w:lang w:val="zh-CN"/>
        </w:rPr>
        <w:t>报名材料一式四份并加盖公章</w:t>
      </w:r>
      <w:r>
        <w:rPr>
          <w:rFonts w:hint="eastAsia" w:ascii="宋体" w:hAnsi="宋体" w:cs="Times New Roman"/>
          <w:color w:val="000000"/>
          <w:sz w:val="24"/>
          <w:szCs w:val="24"/>
          <w:lang w:val="zh-CN"/>
        </w:rPr>
        <w:t>。</w:t>
      </w:r>
    </w:p>
    <w:p>
      <w:pPr>
        <w:spacing w:line="520" w:lineRule="exact"/>
        <w:ind w:firstLine="480" w:firstLineChars="200"/>
        <w:rPr>
          <w:rFonts w:hint="eastAsia" w:ascii="宋体" w:hAnsi="宋体"/>
          <w:sz w:val="24"/>
          <w:szCs w:val="24"/>
        </w:rPr>
      </w:pPr>
      <w:r>
        <w:rPr>
          <w:rFonts w:hint="eastAsia" w:ascii="宋体" w:hAnsi="宋体"/>
          <w:color w:val="000000"/>
          <w:sz w:val="24"/>
          <w:szCs w:val="24"/>
        </w:rPr>
        <w:t>2、本次拍卖</w:t>
      </w:r>
      <w:r>
        <w:rPr>
          <w:rFonts w:hint="eastAsia" w:ascii="宋体" w:hAnsi="宋体"/>
          <w:color w:val="auto"/>
          <w:sz w:val="24"/>
          <w:szCs w:val="24"/>
        </w:rPr>
        <w:t>报名时间为202</w:t>
      </w:r>
      <w:r>
        <w:rPr>
          <w:rFonts w:hint="eastAsia" w:ascii="宋体" w:hAnsi="宋体"/>
          <w:color w:val="auto"/>
          <w:sz w:val="24"/>
          <w:szCs w:val="24"/>
          <w:lang w:val="en-US" w:eastAsia="zh-CN"/>
        </w:rPr>
        <w:t>3</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6</w:t>
      </w:r>
      <w:r>
        <w:rPr>
          <w:rFonts w:hint="eastAsia" w:ascii="宋体" w:hAnsi="宋体"/>
          <w:color w:val="auto"/>
          <w:sz w:val="24"/>
          <w:szCs w:val="24"/>
        </w:rPr>
        <w:t>日9：00- 17：</w:t>
      </w:r>
      <w:r>
        <w:rPr>
          <w:rFonts w:hint="eastAsia" w:ascii="宋体" w:hAnsi="宋体"/>
          <w:color w:val="auto"/>
          <w:sz w:val="24"/>
          <w:szCs w:val="24"/>
          <w:lang w:val="en-US" w:eastAsia="zh-CN"/>
        </w:rPr>
        <w:t>0</w:t>
      </w:r>
      <w:r>
        <w:rPr>
          <w:rFonts w:hint="eastAsia" w:ascii="宋体" w:hAnsi="宋体"/>
          <w:color w:val="auto"/>
          <w:sz w:val="24"/>
          <w:szCs w:val="24"/>
        </w:rPr>
        <w:t>0</w:t>
      </w:r>
      <w:r>
        <w:rPr>
          <w:rFonts w:hint="eastAsia" w:ascii="宋体" w:hAnsi="宋体"/>
          <w:color w:val="auto"/>
          <w:sz w:val="24"/>
          <w:szCs w:val="24"/>
          <w:lang w:eastAsia="zh-CN"/>
        </w:rPr>
        <w:t>止</w:t>
      </w:r>
      <w:r>
        <w:rPr>
          <w:rFonts w:hint="eastAsia" w:ascii="宋体" w:hAnsi="宋体"/>
          <w:color w:val="auto"/>
          <w:sz w:val="24"/>
          <w:szCs w:val="24"/>
        </w:rPr>
        <w:t>(上班期间)，</w:t>
      </w:r>
      <w:r>
        <w:rPr>
          <w:rFonts w:hint="eastAsia" w:ascii="宋体" w:hAnsi="宋体" w:eastAsia="宋体"/>
          <w:color w:val="auto"/>
          <w:sz w:val="24"/>
          <w:szCs w:val="24"/>
        </w:rPr>
        <w:t>报名地点</w:t>
      </w:r>
      <w:r>
        <w:rPr>
          <w:rFonts w:hint="eastAsia" w:ascii="宋体" w:hAnsi="宋体" w:eastAsia="宋体"/>
          <w:color w:val="auto"/>
          <w:sz w:val="24"/>
          <w:szCs w:val="24"/>
          <w:lang w:eastAsia="zh-CN"/>
        </w:rPr>
        <w:t>：青田县瓯南街道百悦城5幢（华侨总部经济大楼）12楼招投标中心咨询台</w:t>
      </w:r>
      <w:r>
        <w:rPr>
          <w:rFonts w:hint="eastAsia" w:ascii="宋体" w:hAnsi="宋体"/>
          <w:color w:val="auto"/>
          <w:sz w:val="24"/>
          <w:szCs w:val="24"/>
        </w:rPr>
        <w:t>，有意竞买者须在报名前认真阅读、理解拍卖会资料及现场看样，并确保在202</w:t>
      </w:r>
      <w:r>
        <w:rPr>
          <w:rFonts w:hint="eastAsia" w:ascii="宋体" w:hAnsi="宋体"/>
          <w:color w:val="auto"/>
          <w:sz w:val="24"/>
          <w:szCs w:val="24"/>
          <w:lang w:val="en-US" w:eastAsia="zh-CN"/>
        </w:rPr>
        <w:t>3</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6</w:t>
      </w:r>
      <w:r>
        <w:rPr>
          <w:rFonts w:hint="eastAsia" w:ascii="宋体" w:hAnsi="宋体"/>
          <w:color w:val="auto"/>
          <w:sz w:val="24"/>
          <w:szCs w:val="24"/>
        </w:rPr>
        <w:t>日17：</w:t>
      </w:r>
      <w:r>
        <w:rPr>
          <w:rFonts w:hint="eastAsia" w:ascii="宋体" w:hAnsi="宋体"/>
          <w:color w:val="000000"/>
          <w:sz w:val="24"/>
          <w:szCs w:val="24"/>
          <w:lang w:val="en-US" w:eastAsia="zh-CN"/>
        </w:rPr>
        <w:t>0</w:t>
      </w:r>
      <w:r>
        <w:rPr>
          <w:rFonts w:hint="eastAsia" w:ascii="宋体" w:hAnsi="宋体"/>
          <w:color w:val="000000"/>
          <w:sz w:val="24"/>
          <w:szCs w:val="24"/>
        </w:rPr>
        <w:t>0时前向青田县政府采购招投标交易中心指定账户（户名：青田县政府采购招投标交易中心招投标专户，账号：201000013802556，开户行号：402343200258）交纳竞买保证金后，本人凭身份证明、相</w:t>
      </w:r>
      <w:r>
        <w:rPr>
          <w:rFonts w:hint="eastAsia" w:ascii="宋体" w:hAnsi="宋体"/>
          <w:sz w:val="24"/>
          <w:szCs w:val="24"/>
        </w:rPr>
        <w:t>关材料及保证金交款凭证</w:t>
      </w:r>
      <w:r>
        <w:rPr>
          <w:rFonts w:hint="eastAsia" w:ascii="宋体" w:hAnsi="宋体"/>
          <w:color w:val="000000"/>
          <w:sz w:val="24"/>
          <w:szCs w:val="24"/>
        </w:rPr>
        <w:t>到</w:t>
      </w:r>
      <w:r>
        <w:rPr>
          <w:rFonts w:hint="eastAsia" w:ascii="宋体" w:hAnsi="宋体"/>
          <w:sz w:val="24"/>
          <w:szCs w:val="24"/>
          <w:lang w:eastAsia="zh-CN"/>
        </w:rPr>
        <w:t>青田县瓯南街道百悦城5幢（华侨总部经济大楼）12楼招投标中心咨询台</w:t>
      </w:r>
      <w:r>
        <w:rPr>
          <w:rFonts w:hint="eastAsia" w:ascii="宋体" w:hAnsi="宋体"/>
          <w:color w:val="000000"/>
          <w:sz w:val="24"/>
          <w:szCs w:val="24"/>
        </w:rPr>
        <w:t>办</w:t>
      </w:r>
      <w:r>
        <w:rPr>
          <w:rFonts w:hint="eastAsia" w:ascii="宋体" w:hAnsi="宋体"/>
          <w:sz w:val="24"/>
          <w:szCs w:val="24"/>
        </w:rPr>
        <w:t>理竞买报名手续并签署《竞买申请书》。未交纳竞买保证金及办理报名手续的，不视为有效竞买人，无权参加竞买。</w:t>
      </w:r>
    </w:p>
    <w:p>
      <w:pPr>
        <w:spacing w:line="520" w:lineRule="exact"/>
        <w:ind w:firstLine="480" w:firstLineChars="200"/>
        <w:rPr>
          <w:rFonts w:hint="eastAsia" w:ascii="宋体" w:hAnsi="宋体"/>
          <w:sz w:val="24"/>
          <w:szCs w:val="24"/>
        </w:rPr>
      </w:pPr>
      <w:r>
        <w:rPr>
          <w:rFonts w:hint="eastAsia" w:ascii="宋体" w:hAnsi="宋体"/>
          <w:sz w:val="24"/>
          <w:szCs w:val="24"/>
        </w:rPr>
        <w:t>3、竞买人须以本人名义交纳竞买保证金。</w:t>
      </w:r>
    </w:p>
    <w:p>
      <w:pPr>
        <w:spacing w:line="520" w:lineRule="exact"/>
        <w:ind w:firstLine="480" w:firstLineChars="200"/>
        <w:rPr>
          <w:rFonts w:hint="eastAsia" w:ascii="宋体" w:hAnsi="宋体"/>
          <w:sz w:val="24"/>
          <w:szCs w:val="24"/>
        </w:rPr>
      </w:pPr>
      <w:r>
        <w:rPr>
          <w:rFonts w:hint="eastAsia" w:ascii="宋体" w:hAnsi="宋体"/>
          <w:sz w:val="24"/>
          <w:szCs w:val="24"/>
        </w:rPr>
        <w:t>4、交纳保证金时，需在进账单凭证上明确用途，并注明联系人及电话，以便查对核实。此保证金不计利息。</w:t>
      </w:r>
    </w:p>
    <w:p>
      <w:pPr>
        <w:spacing w:line="360" w:lineRule="auto"/>
        <w:ind w:firstLine="482" w:firstLineChars="200"/>
        <w:rPr>
          <w:rFonts w:hint="eastAsia" w:ascii="宋体" w:hAnsi="宋体"/>
          <w:sz w:val="24"/>
          <w:szCs w:val="24"/>
        </w:rPr>
      </w:pPr>
      <w:r>
        <w:rPr>
          <w:rFonts w:hint="eastAsia" w:ascii="宋体" w:hAnsi="宋体"/>
          <w:b/>
          <w:sz w:val="24"/>
          <w:szCs w:val="24"/>
        </w:rPr>
        <w:t>三、</w:t>
      </w:r>
      <w:r>
        <w:rPr>
          <w:rFonts w:hint="eastAsia" w:ascii="宋体" w:hAnsi="宋体"/>
          <w:sz w:val="24"/>
          <w:szCs w:val="24"/>
        </w:rPr>
        <w:t>竞买人须凭拍卖会入场券方可进入拍卖会现场。竞买人在拍卖会场无论是否本人出价其法律效力均归属于相对应的竞买人。竞买人必须遵守拍卖会场秩序（详见第三章《拍卖会现场秩序管理办法》），不得阻挠其他竞买人的竞价，不得妨碍拍卖师的正常操作，更不得进行恶意串通、操纵、垄断等违法行为，否则拍卖人可以取消其竞买资格并依法追究法律责任。</w:t>
      </w:r>
    </w:p>
    <w:p>
      <w:pPr>
        <w:spacing w:line="360" w:lineRule="auto"/>
        <w:ind w:firstLine="480" w:firstLineChars="200"/>
        <w:rPr>
          <w:rFonts w:hint="eastAsia" w:ascii="宋体" w:hAnsi="宋体"/>
          <w:sz w:val="24"/>
          <w:szCs w:val="24"/>
        </w:rPr>
      </w:pPr>
      <w:r>
        <w:rPr>
          <w:rFonts w:hint="eastAsia" w:ascii="宋体" w:hAnsi="宋体"/>
          <w:sz w:val="24"/>
          <w:szCs w:val="24"/>
        </w:rPr>
        <w:t>四</w:t>
      </w:r>
      <w:r>
        <w:rPr>
          <w:rFonts w:hint="eastAsia" w:ascii="宋体" w:hAnsi="宋体"/>
          <w:b/>
          <w:sz w:val="24"/>
          <w:szCs w:val="24"/>
        </w:rPr>
        <w:t>、</w:t>
      </w:r>
      <w:r>
        <w:rPr>
          <w:rFonts w:hint="eastAsia" w:ascii="宋体" w:hAnsi="宋体"/>
          <w:sz w:val="24"/>
          <w:szCs w:val="24"/>
        </w:rPr>
        <w:t>竞买人进入拍卖会场后须本人凭身份证向拍卖人换取竞买号牌，竞买号牌是代表竞买人身份和竞买权的标志。竞买人领取竞买号牌后，应妥善保管，并在拍卖竞价过程中谨慎使用，拍卖会结束后应将号牌归还拍卖人。竞买人须对本人、授权的代理人及其他持举该竞买号牌的任何人的竞价行为承担全部责任。</w:t>
      </w:r>
    </w:p>
    <w:p>
      <w:pPr>
        <w:spacing w:line="360" w:lineRule="auto"/>
        <w:ind w:firstLine="480" w:firstLineChars="200"/>
        <w:rPr>
          <w:rFonts w:hint="eastAsia" w:ascii="宋体" w:hAnsi="宋体"/>
          <w:sz w:val="24"/>
          <w:szCs w:val="24"/>
        </w:rPr>
      </w:pPr>
      <w:r>
        <w:rPr>
          <w:rFonts w:hint="eastAsia" w:ascii="宋体" w:hAnsi="宋体"/>
          <w:sz w:val="24"/>
          <w:szCs w:val="24"/>
        </w:rPr>
        <w:t>五</w:t>
      </w:r>
      <w:r>
        <w:rPr>
          <w:rFonts w:hint="eastAsia" w:ascii="宋体" w:hAnsi="宋体"/>
          <w:b/>
          <w:sz w:val="24"/>
          <w:szCs w:val="24"/>
        </w:rPr>
        <w:t>、</w:t>
      </w:r>
      <w:r>
        <w:rPr>
          <w:rFonts w:hint="eastAsia" w:ascii="宋体" w:hAnsi="宋体"/>
          <w:sz w:val="24"/>
          <w:szCs w:val="24"/>
        </w:rPr>
        <w:t>本次拍卖会拍卖标的的法律关系等状况均以现状为准，对拟拍卖标的的各方面状况，竞买人须自行了解、查验其具体情况，对标的的坐落、范围、数量、质量等状况须竞买人自行现场勘察核对（竞买人对标的上述信息有疑义的，须在竞买前向委托人进行咨询，联系方式：</w:t>
      </w:r>
      <w:r>
        <w:rPr>
          <w:rFonts w:hint="eastAsia" w:ascii="宋体" w:hAnsi="宋体" w:eastAsia="宋体"/>
          <w:sz w:val="24"/>
          <w:szCs w:val="24"/>
          <w:u w:val="single"/>
          <w:lang w:val="en-US" w:eastAsia="zh-CN"/>
        </w:rPr>
        <w:t>青田县砂石料工作中心：舒先生13666569291</w:t>
      </w:r>
      <w:r>
        <w:rPr>
          <w:rFonts w:hint="eastAsia" w:ascii="宋体" w:hAnsi="宋体" w:eastAsia="宋体"/>
          <w:sz w:val="24"/>
          <w:szCs w:val="24"/>
          <w:u w:val="none"/>
          <w:lang w:val="en-US" w:eastAsia="zh-CN"/>
        </w:rPr>
        <w:t>）</w:t>
      </w:r>
      <w:r>
        <w:rPr>
          <w:rFonts w:hint="eastAsia" w:ascii="宋体" w:hAnsi="宋体"/>
          <w:sz w:val="24"/>
          <w:szCs w:val="24"/>
        </w:rPr>
        <w:t>并对竞买本标的可能存在的投资、经营风险进行充分评估并自愿承担。拍卖人提供的拍卖标的的相关资料是拍卖人所了解的对拍卖标的的历史及现状提供意见性说明的文字及材料，仅供参考，拍卖人不对标的承担瑕疵担保责任。竞买人一旦进入拍卖现场并出价的，即表示认可拍卖标的的状况，并愿意为自己按照拍卖标的的状况参与竞买的行为承担责任。</w:t>
      </w:r>
    </w:p>
    <w:p>
      <w:pPr>
        <w:spacing w:line="360" w:lineRule="auto"/>
        <w:ind w:firstLine="480" w:firstLineChars="200"/>
        <w:rPr>
          <w:rFonts w:hint="eastAsia" w:ascii="宋体" w:hAnsi="宋体"/>
          <w:sz w:val="24"/>
          <w:szCs w:val="24"/>
        </w:rPr>
      </w:pPr>
      <w:r>
        <w:rPr>
          <w:rFonts w:hint="eastAsia" w:ascii="宋体" w:hAnsi="宋体"/>
          <w:sz w:val="24"/>
          <w:szCs w:val="24"/>
        </w:rPr>
        <w:t>六</w:t>
      </w:r>
      <w:r>
        <w:rPr>
          <w:rFonts w:hint="eastAsia" w:ascii="宋体" w:hAnsi="宋体"/>
          <w:b/>
          <w:sz w:val="24"/>
          <w:szCs w:val="24"/>
        </w:rPr>
        <w:t>、</w:t>
      </w:r>
      <w:r>
        <w:rPr>
          <w:rFonts w:hint="eastAsia" w:ascii="宋体" w:hAnsi="宋体"/>
          <w:sz w:val="24"/>
          <w:szCs w:val="24"/>
        </w:rPr>
        <w:t>本次拍卖采用无保留价的增价拍卖方式。竞买人一经出价即不得反悔。加价幅度由拍卖师当场宣布，拍卖师有权视场上情况随时调整加价幅度；竞买人可以举牌应价或口头报出高于拍卖师的报价。场上有二人或二人以上出示同一价位的，由拍卖师确认最先出价者为有效出价，其他人员不得提出异议。拍卖师在现场进行三次报价提示，确认再无更高应价后，即以击槌表示成交。竞买人一经出价即不得反悔，当其他竞买人提出更高价时，该出价即丧失约束力。</w:t>
      </w:r>
    </w:p>
    <w:p>
      <w:pPr>
        <w:spacing w:line="360" w:lineRule="auto"/>
        <w:ind w:firstLine="446" w:firstLineChars="186"/>
        <w:rPr>
          <w:rFonts w:hint="eastAsia" w:ascii="宋体" w:hAnsi="宋体"/>
          <w:color w:val="000000"/>
          <w:sz w:val="24"/>
          <w:szCs w:val="24"/>
        </w:rPr>
      </w:pPr>
      <w:r>
        <w:rPr>
          <w:rFonts w:hint="eastAsia" w:ascii="宋体" w:hAnsi="宋体"/>
          <w:sz w:val="24"/>
          <w:szCs w:val="24"/>
        </w:rPr>
        <w:t>七</w:t>
      </w:r>
      <w:r>
        <w:rPr>
          <w:rFonts w:hint="eastAsia" w:ascii="宋体" w:hAnsi="宋体"/>
          <w:b/>
          <w:sz w:val="24"/>
          <w:szCs w:val="24"/>
        </w:rPr>
        <w:t>、</w:t>
      </w:r>
      <w:r>
        <w:rPr>
          <w:rFonts w:hint="eastAsia" w:ascii="宋体" w:hAnsi="宋体"/>
          <w:sz w:val="24"/>
          <w:szCs w:val="24"/>
        </w:rPr>
        <w:t>竞买人的最高应价经拍卖师落槌或者以其他公开表示买定的方式确认后，拍卖成交。拍卖标的竞买成功后，买受人必须当场亲自与</w:t>
      </w:r>
      <w:r>
        <w:rPr>
          <w:rFonts w:hint="eastAsia" w:ascii="宋体" w:hAnsi="宋体"/>
          <w:sz w:val="24"/>
          <w:szCs w:val="24"/>
          <w:lang w:eastAsia="zh-CN"/>
        </w:rPr>
        <w:t>丽水中侨拍卖行</w:t>
      </w:r>
      <w:r>
        <w:rPr>
          <w:rFonts w:hint="eastAsia" w:ascii="宋体" w:hAnsi="宋体"/>
          <w:sz w:val="24"/>
          <w:szCs w:val="24"/>
        </w:rPr>
        <w:t>有限公司签署《拍卖成交确认书》、《拍卖笔录》（企事业单位买受人还须当场在《拍卖成交确认书》、《拍卖笔录》上加盖公章）</w:t>
      </w:r>
      <w:r>
        <w:rPr>
          <w:rFonts w:hint="eastAsia" w:ascii="宋体" w:hAnsi="宋体"/>
          <w:color w:val="000000"/>
          <w:sz w:val="24"/>
          <w:szCs w:val="24"/>
        </w:rPr>
        <w:t>，并</w:t>
      </w:r>
      <w:r>
        <w:rPr>
          <w:rFonts w:hint="eastAsia" w:ascii="宋体" w:hAnsi="宋体"/>
          <w:color w:val="auto"/>
          <w:sz w:val="24"/>
          <w:szCs w:val="24"/>
        </w:rPr>
        <w:t>于202</w:t>
      </w:r>
      <w:r>
        <w:rPr>
          <w:rFonts w:hint="eastAsia" w:ascii="宋体" w:hAnsi="宋体"/>
          <w:color w:val="auto"/>
          <w:sz w:val="24"/>
          <w:szCs w:val="24"/>
          <w:lang w:val="en-US" w:eastAsia="zh-CN"/>
        </w:rPr>
        <w:t>3</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14</w:t>
      </w:r>
      <w:r>
        <w:rPr>
          <w:rFonts w:hint="eastAsia" w:ascii="宋体" w:hAnsi="宋体"/>
          <w:color w:val="auto"/>
          <w:sz w:val="24"/>
          <w:szCs w:val="24"/>
        </w:rPr>
        <w:t>日</w:t>
      </w:r>
      <w:r>
        <w:rPr>
          <w:rFonts w:hint="eastAsia" w:ascii="宋体" w:hAnsi="宋体"/>
          <w:color w:val="auto"/>
          <w:sz w:val="24"/>
          <w:szCs w:val="24"/>
        </w:rPr>
        <w:t>下午</w:t>
      </w:r>
      <w:r>
        <w:rPr>
          <w:rFonts w:hint="eastAsia" w:ascii="宋体" w:hAnsi="宋体"/>
          <w:color w:val="auto"/>
          <w:sz w:val="24"/>
          <w:szCs w:val="24"/>
          <w:lang w:val="en-US" w:eastAsia="zh-CN"/>
        </w:rPr>
        <w:t>16</w:t>
      </w:r>
      <w:r>
        <w:rPr>
          <w:rFonts w:hint="eastAsia" w:ascii="宋体" w:hAnsi="宋体"/>
          <w:color w:val="auto"/>
          <w:sz w:val="24"/>
          <w:szCs w:val="24"/>
        </w:rPr>
        <w:t>∶00</w:t>
      </w:r>
      <w:r>
        <w:rPr>
          <w:rFonts w:hint="eastAsia" w:ascii="宋体" w:hAnsi="宋体"/>
          <w:color w:val="000000"/>
          <w:sz w:val="24"/>
          <w:szCs w:val="24"/>
        </w:rPr>
        <w:t>前与委托人签署《</w:t>
      </w:r>
      <w:r>
        <w:rPr>
          <w:rFonts w:hint="eastAsia" w:ascii="宋体" w:hAnsi="宋体"/>
          <w:color w:val="000000"/>
          <w:sz w:val="24"/>
          <w:szCs w:val="24"/>
          <w:lang w:eastAsia="zh-CN"/>
        </w:rPr>
        <w:t>砂石料</w:t>
      </w:r>
      <w:r>
        <w:rPr>
          <w:rFonts w:hint="eastAsia" w:ascii="宋体" w:hAnsi="宋体"/>
          <w:color w:val="000000"/>
          <w:sz w:val="24"/>
          <w:szCs w:val="24"/>
        </w:rPr>
        <w:t>出让合同书》，在签订合同</w:t>
      </w:r>
      <w:r>
        <w:rPr>
          <w:rFonts w:hint="eastAsia" w:ascii="宋体" w:hAnsi="宋体"/>
          <w:color w:val="000000"/>
          <w:sz w:val="24"/>
          <w:szCs w:val="24"/>
          <w:lang w:val="en-US" w:eastAsia="zh-CN"/>
        </w:rPr>
        <w:t>日</w:t>
      </w:r>
      <w:r>
        <w:rPr>
          <w:rFonts w:hint="eastAsia" w:ascii="宋体" w:hAnsi="宋体" w:eastAsia="宋体"/>
          <w:color w:val="000000"/>
          <w:sz w:val="24"/>
          <w:szCs w:val="24"/>
          <w:lang w:val="en-US" w:eastAsia="zh-CN"/>
        </w:rPr>
        <w:t>前</w:t>
      </w:r>
      <w:r>
        <w:rPr>
          <w:rFonts w:hint="eastAsia" w:ascii="宋体" w:hAnsi="宋体" w:eastAsia="宋体"/>
          <w:color w:val="000000"/>
          <w:sz w:val="24"/>
          <w:szCs w:val="24"/>
        </w:rPr>
        <w:t>向委托人指定账户付清成交款</w:t>
      </w:r>
      <w:r>
        <w:rPr>
          <w:rFonts w:hint="eastAsia" w:ascii="宋体" w:hAnsi="宋体" w:eastAsia="宋体"/>
          <w:color w:val="000000"/>
          <w:sz w:val="24"/>
          <w:szCs w:val="24"/>
          <w:lang w:val="en-US" w:eastAsia="zh-CN"/>
        </w:rPr>
        <w:t>和履约保证金</w:t>
      </w:r>
      <w:r>
        <w:rPr>
          <w:rFonts w:hint="eastAsia" w:ascii="宋体" w:hAnsi="宋体" w:eastAsia="宋体"/>
          <w:color w:val="000000"/>
          <w:sz w:val="24"/>
          <w:szCs w:val="24"/>
        </w:rPr>
        <w:t>。</w:t>
      </w:r>
    </w:p>
    <w:p>
      <w:pPr>
        <w:spacing w:line="360" w:lineRule="auto"/>
        <w:ind w:firstLine="446" w:firstLineChars="186"/>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（付款帐号：</w:t>
      </w:r>
      <w:r>
        <w:rPr>
          <w:rFonts w:hint="eastAsia" w:ascii="宋体" w:hAnsi="宋体"/>
          <w:color w:val="auto"/>
          <w:sz w:val="24"/>
          <w:szCs w:val="24"/>
          <w:lang w:val="en-US" w:eastAsia="zh-CN"/>
        </w:rPr>
        <w:t>201000310773996</w:t>
      </w:r>
      <w:r>
        <w:rPr>
          <w:rFonts w:hint="eastAsia" w:ascii="宋体" w:hAnsi="宋体" w:eastAsia="宋体"/>
          <w:color w:val="auto"/>
          <w:sz w:val="24"/>
          <w:szCs w:val="24"/>
          <w:lang w:val="en-US" w:eastAsia="zh-CN"/>
        </w:rPr>
        <w:t>户名：青田县</w:t>
      </w:r>
      <w:r>
        <w:rPr>
          <w:rFonts w:hint="eastAsia" w:ascii="宋体" w:hAnsi="宋体"/>
          <w:color w:val="auto"/>
          <w:sz w:val="24"/>
          <w:szCs w:val="24"/>
          <w:lang w:val="en-US" w:eastAsia="zh-CN"/>
        </w:rPr>
        <w:t>砂石料工作中心</w:t>
      </w:r>
      <w:r>
        <w:rPr>
          <w:rFonts w:hint="eastAsia" w:ascii="宋体" w:hAnsi="宋体" w:eastAsia="宋体"/>
          <w:color w:val="auto"/>
          <w:sz w:val="24"/>
          <w:szCs w:val="24"/>
          <w:lang w:val="en-US" w:eastAsia="zh-CN"/>
        </w:rPr>
        <w:t xml:space="preserve"> 开户行：</w:t>
      </w:r>
      <w:r>
        <w:rPr>
          <w:rFonts w:hint="eastAsia" w:ascii="宋体" w:hAnsi="宋体"/>
          <w:color w:val="auto"/>
          <w:sz w:val="24"/>
          <w:szCs w:val="24"/>
          <w:lang w:val="en-US" w:eastAsia="zh-CN"/>
        </w:rPr>
        <w:t>浙江青田农村商业银行股份有限公司鹤城支行</w:t>
      </w:r>
      <w:r>
        <w:rPr>
          <w:rFonts w:hint="eastAsia" w:ascii="宋体" w:hAnsi="宋体" w:eastAsia="宋体"/>
          <w:color w:val="auto"/>
          <w:sz w:val="24"/>
          <w:szCs w:val="24"/>
          <w:lang w:val="en-US" w:eastAsia="zh-CN"/>
        </w:rPr>
        <w:t>）</w:t>
      </w:r>
    </w:p>
    <w:p>
      <w:pPr>
        <w:spacing w:line="360" w:lineRule="auto"/>
        <w:ind w:firstLine="482" w:firstLineChars="200"/>
        <w:rPr>
          <w:rFonts w:hint="eastAsia" w:ascii="宋体" w:hAnsi="宋体"/>
          <w:b/>
          <w:sz w:val="24"/>
          <w:szCs w:val="24"/>
        </w:rPr>
      </w:pPr>
      <w:r>
        <w:rPr>
          <w:rFonts w:hint="eastAsia" w:ascii="宋体" w:hAnsi="宋体"/>
          <w:b/>
          <w:sz w:val="24"/>
          <w:szCs w:val="24"/>
        </w:rPr>
        <w:t>▲买受人的竞买保证金不可转为成交款、履约保证金。</w:t>
      </w:r>
    </w:p>
    <w:p>
      <w:pPr>
        <w:spacing w:line="360" w:lineRule="auto"/>
        <w:ind w:firstLine="482" w:firstLineChars="200"/>
        <w:rPr>
          <w:rFonts w:hint="eastAsia" w:ascii="宋体" w:hAnsi="宋体"/>
          <w:b/>
          <w:sz w:val="24"/>
          <w:szCs w:val="24"/>
        </w:rPr>
      </w:pPr>
      <w:r>
        <w:rPr>
          <w:rFonts w:hint="eastAsia" w:ascii="宋体" w:hAnsi="宋体"/>
          <w:b/>
          <w:sz w:val="24"/>
          <w:szCs w:val="24"/>
        </w:rPr>
        <w:t>▲买受人在签订《</w:t>
      </w:r>
      <w:r>
        <w:rPr>
          <w:rFonts w:hint="eastAsia" w:ascii="宋体" w:hAnsi="宋体"/>
          <w:b/>
          <w:sz w:val="24"/>
          <w:szCs w:val="24"/>
          <w:lang w:eastAsia="zh-CN"/>
        </w:rPr>
        <w:t>砂石料</w:t>
      </w:r>
      <w:r>
        <w:rPr>
          <w:rFonts w:hint="eastAsia" w:ascii="宋体" w:hAnsi="宋体"/>
          <w:b/>
          <w:sz w:val="24"/>
          <w:szCs w:val="24"/>
        </w:rPr>
        <w:t>出让合同书》并按规定要求支付成交款后，竞买保证金予以全额退返（不计息）。</w:t>
      </w:r>
    </w:p>
    <w:p>
      <w:pPr>
        <w:spacing w:line="360" w:lineRule="auto"/>
        <w:ind w:firstLine="482" w:firstLineChars="200"/>
        <w:rPr>
          <w:rFonts w:hint="eastAsia" w:ascii="宋体" w:hAnsi="宋体"/>
          <w:sz w:val="24"/>
          <w:szCs w:val="24"/>
        </w:rPr>
      </w:pPr>
      <w:r>
        <w:rPr>
          <w:rFonts w:hint="eastAsia" w:ascii="宋体" w:hAnsi="宋体"/>
          <w:b/>
          <w:bCs/>
          <w:sz w:val="24"/>
          <w:szCs w:val="24"/>
        </w:rPr>
        <w:t>八</w:t>
      </w:r>
      <w:r>
        <w:rPr>
          <w:rFonts w:hint="eastAsia" w:ascii="宋体" w:hAnsi="宋体"/>
          <w:sz w:val="24"/>
          <w:szCs w:val="24"/>
        </w:rPr>
        <w:t>、买受人逾期不按规定付清成交款及逾期未签署《</w:t>
      </w:r>
      <w:r>
        <w:rPr>
          <w:rFonts w:hint="eastAsia" w:ascii="宋体" w:hAnsi="宋体"/>
          <w:sz w:val="24"/>
          <w:szCs w:val="24"/>
          <w:lang w:eastAsia="zh-CN"/>
        </w:rPr>
        <w:t>砂石料</w:t>
      </w:r>
      <w:r>
        <w:rPr>
          <w:rFonts w:hint="eastAsia" w:ascii="宋体" w:hAnsi="宋体"/>
          <w:sz w:val="24"/>
          <w:szCs w:val="24"/>
        </w:rPr>
        <w:t>出让合同书》者，应当承担违约责任，其所交纳的竞买保证金作为违约金不予返还，拍卖人有权按《拍卖法》第三十九条之规定（</w:t>
      </w:r>
      <w:r>
        <w:rPr>
          <w:rFonts w:ascii="宋体" w:hAnsi="宋体"/>
          <w:b/>
          <w:sz w:val="24"/>
          <w:szCs w:val="24"/>
        </w:rPr>
        <w:t>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Pr>
          <w:rFonts w:hint="eastAsia" w:ascii="宋体" w:hAnsi="宋体"/>
          <w:b/>
          <w:sz w:val="24"/>
          <w:szCs w:val="24"/>
        </w:rPr>
        <w:t>）</w:t>
      </w:r>
      <w:r>
        <w:rPr>
          <w:rFonts w:hint="eastAsia" w:ascii="宋体" w:hAnsi="宋体"/>
          <w:sz w:val="24"/>
          <w:szCs w:val="24"/>
        </w:rPr>
        <w:t>追究法律责任。</w:t>
      </w:r>
    </w:p>
    <w:p>
      <w:pPr>
        <w:spacing w:line="360" w:lineRule="auto"/>
        <w:ind w:firstLine="482" w:firstLineChars="200"/>
        <w:rPr>
          <w:rFonts w:hint="eastAsia" w:ascii="宋体" w:hAnsi="宋体"/>
          <w:b/>
          <w:sz w:val="24"/>
          <w:szCs w:val="24"/>
        </w:rPr>
      </w:pPr>
      <w:r>
        <w:rPr>
          <w:rFonts w:hint="eastAsia" w:ascii="宋体" w:hAnsi="宋体"/>
          <w:b/>
          <w:sz w:val="24"/>
          <w:szCs w:val="24"/>
        </w:rPr>
        <w:t>九、标的交付</w:t>
      </w:r>
    </w:p>
    <w:p>
      <w:pPr>
        <w:spacing w:line="360" w:lineRule="auto"/>
        <w:ind w:firstLine="480" w:firstLineChars="200"/>
        <w:jc w:val="left"/>
        <w:rPr>
          <w:rFonts w:hint="default" w:ascii="宋体" w:hAnsi="宋体"/>
          <w:color w:val="auto"/>
          <w:sz w:val="24"/>
          <w:szCs w:val="24"/>
          <w:u w:val="single"/>
          <w:lang w:val="en-US"/>
        </w:rPr>
      </w:pPr>
      <w:r>
        <w:rPr>
          <w:rFonts w:hint="eastAsia" w:ascii="宋体" w:hAnsi="宋体"/>
          <w:color w:val="000000"/>
          <w:sz w:val="24"/>
          <w:szCs w:val="24"/>
        </w:rPr>
        <w:t>1、</w:t>
      </w:r>
      <w:r>
        <w:rPr>
          <w:rFonts w:hint="eastAsia" w:ascii="宋体" w:hAnsi="宋体"/>
          <w:color w:val="auto"/>
          <w:sz w:val="24"/>
          <w:szCs w:val="24"/>
        </w:rPr>
        <w:t>交割地点：</w:t>
      </w:r>
      <w:r>
        <w:rPr>
          <w:rFonts w:hint="eastAsia" w:ascii="宋体" w:hAnsi="宋体"/>
          <w:color w:val="auto"/>
          <w:sz w:val="24"/>
          <w:szCs w:val="24"/>
          <w:u w:val="single"/>
        </w:rPr>
        <w:t>1号标的交割地点</w:t>
      </w:r>
      <w:r>
        <w:rPr>
          <w:rFonts w:hint="eastAsia" w:ascii="宋体" w:hAnsi="宋体"/>
          <w:color w:val="auto"/>
          <w:sz w:val="24"/>
          <w:szCs w:val="24"/>
          <w:u w:val="single"/>
          <w:lang w:eastAsia="zh-CN"/>
        </w:rPr>
        <w:t>：</w:t>
      </w:r>
      <w:r>
        <w:rPr>
          <w:rFonts w:hint="eastAsia" w:ascii="宋体" w:hAnsi="宋体"/>
          <w:color w:val="auto"/>
          <w:sz w:val="24"/>
          <w:szCs w:val="24"/>
          <w:u w:val="single"/>
          <w:lang w:val="en-US" w:eastAsia="zh-CN"/>
        </w:rPr>
        <w:t xml:space="preserve">施工现场  </w:t>
      </w:r>
    </w:p>
    <w:p>
      <w:pPr>
        <w:spacing w:line="360" w:lineRule="auto"/>
        <w:ind w:firstLine="420" w:firstLineChars="175"/>
        <w:rPr>
          <w:rFonts w:hint="eastAsia" w:ascii="宋体" w:hAnsi="宋体"/>
          <w:color w:val="auto"/>
          <w:sz w:val="24"/>
          <w:szCs w:val="24"/>
          <w:u w:val="single"/>
        </w:rPr>
      </w:pPr>
      <w:r>
        <w:rPr>
          <w:rFonts w:hint="eastAsia" w:ascii="宋体" w:hAnsi="宋体"/>
          <w:color w:val="auto"/>
          <w:sz w:val="24"/>
          <w:szCs w:val="24"/>
        </w:rPr>
        <w:t>2、交付方式：</w:t>
      </w:r>
      <w:r>
        <w:rPr>
          <w:rFonts w:hint="eastAsia" w:ascii="宋体" w:hAnsi="宋体"/>
          <w:color w:val="auto"/>
          <w:sz w:val="24"/>
          <w:szCs w:val="24"/>
          <w:u w:val="single"/>
        </w:rPr>
        <w:t>买受人自行到上述交割地点及时装车清运。根据实际情况管理。买受人因自身原因未及时清运所造成的一切经济责任由买受人自行承担。</w:t>
      </w:r>
    </w:p>
    <w:p>
      <w:pPr>
        <w:spacing w:line="360" w:lineRule="auto"/>
        <w:ind w:left="19" w:leftChars="9" w:firstLine="453" w:firstLineChars="189"/>
        <w:jc w:val="left"/>
        <w:rPr>
          <w:rFonts w:hint="eastAsia" w:ascii="宋体" w:hAnsi="宋体"/>
          <w:color w:val="auto"/>
          <w:sz w:val="24"/>
          <w:szCs w:val="24"/>
          <w:u w:val="single"/>
        </w:rPr>
      </w:pPr>
      <w:r>
        <w:rPr>
          <w:rFonts w:hint="eastAsia" w:ascii="宋体" w:hAnsi="宋体"/>
          <w:color w:val="auto"/>
          <w:sz w:val="24"/>
          <w:szCs w:val="24"/>
          <w:u w:val="single"/>
        </w:rPr>
        <w:t>3、买受人不得违反《青田县</w:t>
      </w:r>
      <w:r>
        <w:rPr>
          <w:rFonts w:hint="eastAsia" w:ascii="宋体" w:hAnsi="宋体"/>
          <w:color w:val="auto"/>
          <w:sz w:val="24"/>
          <w:szCs w:val="24"/>
          <w:u w:val="single"/>
          <w:lang w:eastAsia="zh-CN"/>
        </w:rPr>
        <w:t>砂石料</w:t>
      </w:r>
      <w:r>
        <w:rPr>
          <w:rFonts w:hint="eastAsia" w:ascii="宋体" w:hAnsi="宋体"/>
          <w:color w:val="auto"/>
          <w:sz w:val="24"/>
          <w:szCs w:val="24"/>
          <w:u w:val="single"/>
        </w:rPr>
        <w:t>行业运输源头管控办法》相关规定，如若违反所造成的一切经济责任和法律责任由买受人自行承担。</w:t>
      </w:r>
    </w:p>
    <w:p>
      <w:pPr>
        <w:spacing w:line="360" w:lineRule="auto"/>
        <w:ind w:left="19" w:leftChars="9" w:firstLine="453" w:firstLineChars="189"/>
        <w:jc w:val="left"/>
        <w:rPr>
          <w:rFonts w:hint="default" w:ascii="宋体" w:hAnsi="宋体" w:eastAsia="宋体"/>
          <w:color w:val="auto"/>
          <w:sz w:val="24"/>
          <w:szCs w:val="24"/>
          <w:u w:val="single"/>
          <w:lang w:val="en-US" w:eastAsia="zh-CN"/>
        </w:rPr>
      </w:pPr>
      <w:r>
        <w:rPr>
          <w:rFonts w:hint="eastAsia" w:ascii="宋体" w:hAnsi="宋体"/>
          <w:color w:val="auto"/>
          <w:sz w:val="24"/>
          <w:szCs w:val="24"/>
          <w:u w:val="single"/>
          <w:lang w:val="en-US" w:eastAsia="zh-CN"/>
        </w:rPr>
        <w:t>4、清运工期参照施工工期。</w:t>
      </w:r>
    </w:p>
    <w:p>
      <w:pPr>
        <w:spacing w:line="360" w:lineRule="auto"/>
        <w:ind w:firstLine="482" w:firstLineChars="200"/>
        <w:rPr>
          <w:rFonts w:hint="eastAsia" w:ascii="宋体" w:hAnsi="宋体"/>
          <w:b/>
          <w:sz w:val="24"/>
          <w:szCs w:val="24"/>
        </w:rPr>
      </w:pPr>
      <w:r>
        <w:rPr>
          <w:rFonts w:hint="eastAsia" w:ascii="宋体" w:hAnsi="宋体"/>
          <w:b/>
          <w:sz w:val="24"/>
          <w:szCs w:val="24"/>
        </w:rPr>
        <w:t>十、标的相关说明</w:t>
      </w:r>
    </w:p>
    <w:p>
      <w:pPr>
        <w:spacing w:line="360" w:lineRule="auto"/>
        <w:ind w:firstLine="420" w:firstLineChars="175"/>
        <w:rPr>
          <w:rFonts w:hint="eastAsia" w:ascii="宋体" w:hAnsi="宋体"/>
          <w:sz w:val="24"/>
          <w:szCs w:val="24"/>
        </w:rPr>
      </w:pPr>
      <w:r>
        <w:rPr>
          <w:rFonts w:hint="eastAsia" w:ascii="宋体" w:hAnsi="宋体"/>
          <w:sz w:val="24"/>
          <w:szCs w:val="24"/>
        </w:rPr>
        <w:t>1、本次拍卖标的可能存在显性或隐性瑕疵，竞买人在拍卖前须现场勘查了解、自行解决，该瑕疵不影响拍卖结果。竞买人应先到现场踏勘以充分了解工程施工情况、交割点位置、道路、储存空间、装卸限制及任何其它足以影响竞买价的情况。买受人应根据现场踏勘情况各自计算出剩余</w:t>
      </w:r>
      <w:r>
        <w:rPr>
          <w:rFonts w:hint="eastAsia" w:ascii="宋体" w:hAnsi="宋体"/>
          <w:sz w:val="24"/>
          <w:szCs w:val="24"/>
          <w:lang w:eastAsia="zh-CN"/>
        </w:rPr>
        <w:t>砂石料</w:t>
      </w:r>
      <w:r>
        <w:rPr>
          <w:rFonts w:hint="eastAsia" w:ascii="宋体" w:hAnsi="宋体"/>
          <w:sz w:val="24"/>
          <w:szCs w:val="24"/>
        </w:rPr>
        <w:t>方量及收支盈余，确定单价、总价，并承担错估、少算、漏项等计算差错的责任及费用增减的责任。任何因忽视或误解情况而导致的索赔或其他申请将不获批准。</w:t>
      </w:r>
    </w:p>
    <w:p>
      <w:pPr>
        <w:spacing w:line="360" w:lineRule="auto"/>
        <w:ind w:firstLine="480" w:firstLineChars="200"/>
        <w:rPr>
          <w:rFonts w:hint="eastAsia" w:ascii="宋体" w:hAnsi="宋体"/>
          <w:color w:val="FF0000"/>
          <w:sz w:val="24"/>
          <w:szCs w:val="24"/>
        </w:rPr>
      </w:pPr>
      <w:r>
        <w:rPr>
          <w:rFonts w:hint="eastAsia" w:ascii="宋体" w:hAnsi="宋体"/>
          <w:sz w:val="24"/>
          <w:szCs w:val="24"/>
          <w:lang w:val="en-US" w:eastAsia="zh-CN"/>
        </w:rPr>
        <w:t>2</w:t>
      </w:r>
      <w:r>
        <w:rPr>
          <w:rFonts w:hint="eastAsia" w:ascii="宋体" w:hAnsi="宋体"/>
          <w:sz w:val="24"/>
          <w:szCs w:val="24"/>
        </w:rPr>
        <w:t>、买受人对</w:t>
      </w:r>
      <w:r>
        <w:rPr>
          <w:rFonts w:hint="eastAsia" w:ascii="宋体" w:hAnsi="宋体"/>
          <w:sz w:val="24"/>
          <w:szCs w:val="24"/>
          <w:lang w:eastAsia="zh-CN"/>
        </w:rPr>
        <w:t>砂石料</w:t>
      </w:r>
      <w:r>
        <w:rPr>
          <w:rFonts w:hint="eastAsia" w:ascii="宋体" w:hAnsi="宋体"/>
          <w:sz w:val="24"/>
          <w:szCs w:val="24"/>
        </w:rPr>
        <w:t>的运输、存放必须符合有关法律、法规、安全生产管理等要求，负责相关政策处理工作。经营过程中，一切市场风险、工程建设进度影响、安全生产责任、硐碴运输车辆对所经过道路造成的道路损坏等风险、责任均由买受人承担。</w:t>
      </w:r>
    </w:p>
    <w:p>
      <w:pPr>
        <w:spacing w:line="360" w:lineRule="auto"/>
        <w:ind w:firstLine="420" w:firstLineChars="175"/>
        <w:rPr>
          <w:rFonts w:hint="eastAsia" w:ascii="宋体" w:hAnsi="宋体"/>
          <w:sz w:val="24"/>
          <w:szCs w:val="24"/>
        </w:rPr>
      </w:pPr>
      <w:r>
        <w:rPr>
          <w:rFonts w:hint="eastAsia" w:ascii="宋体" w:hAnsi="宋体"/>
          <w:color w:val="000000"/>
          <w:sz w:val="24"/>
          <w:szCs w:val="24"/>
          <w:lang w:val="en-US" w:eastAsia="zh-CN"/>
        </w:rPr>
        <w:t>3</w:t>
      </w:r>
      <w:r>
        <w:rPr>
          <w:rFonts w:hint="eastAsia" w:ascii="宋体" w:hAnsi="宋体"/>
          <w:color w:val="000000"/>
          <w:sz w:val="24"/>
          <w:szCs w:val="24"/>
        </w:rPr>
        <w:t>、</w:t>
      </w:r>
      <w:r>
        <w:rPr>
          <w:rFonts w:hint="eastAsia" w:ascii="宋体" w:hAnsi="宋体"/>
          <w:sz w:val="24"/>
          <w:szCs w:val="24"/>
          <w:lang w:eastAsia="zh-CN"/>
        </w:rPr>
        <w:t>砂石料</w:t>
      </w:r>
      <w:r>
        <w:rPr>
          <w:rFonts w:hint="eastAsia" w:ascii="宋体" w:hAnsi="宋体"/>
          <w:sz w:val="24"/>
          <w:szCs w:val="24"/>
        </w:rPr>
        <w:t>日产出量受相关工程施工进度影响，不受市场调节，所产生的全部风险均由买受人承担；如买受人不能及时处理工程施工产生的</w:t>
      </w:r>
      <w:r>
        <w:rPr>
          <w:rFonts w:hint="eastAsia" w:ascii="宋体" w:hAnsi="宋体"/>
          <w:sz w:val="24"/>
          <w:szCs w:val="24"/>
          <w:lang w:eastAsia="zh-CN"/>
        </w:rPr>
        <w:t>砂石料</w:t>
      </w:r>
      <w:r>
        <w:rPr>
          <w:rFonts w:hint="eastAsia" w:ascii="宋体" w:hAnsi="宋体"/>
          <w:sz w:val="24"/>
          <w:szCs w:val="24"/>
        </w:rPr>
        <w:t>，造成交割点无法使用或</w:t>
      </w:r>
      <w:r>
        <w:rPr>
          <w:rFonts w:hint="eastAsia" w:ascii="宋体" w:hAnsi="宋体"/>
          <w:sz w:val="24"/>
          <w:szCs w:val="24"/>
          <w:lang w:eastAsia="zh-CN"/>
        </w:rPr>
        <w:t>砂石料</w:t>
      </w:r>
      <w:r>
        <w:rPr>
          <w:rFonts w:hint="eastAsia" w:ascii="宋体" w:hAnsi="宋体"/>
          <w:sz w:val="24"/>
          <w:szCs w:val="24"/>
        </w:rPr>
        <w:t>无法堆放阻碍其工程施工的，由</w:t>
      </w:r>
      <w:r>
        <w:rPr>
          <w:rFonts w:hint="eastAsia" w:ascii="宋体" w:hAnsi="宋体" w:eastAsia="宋体"/>
          <w:color w:val="000000"/>
          <w:sz w:val="24"/>
          <w:szCs w:val="24"/>
          <w:lang w:val="en-US" w:eastAsia="zh-CN"/>
        </w:rPr>
        <w:t>青田县</w:t>
      </w:r>
      <w:r>
        <w:rPr>
          <w:rFonts w:hint="eastAsia" w:ascii="宋体" w:hAnsi="宋体"/>
          <w:color w:val="000000"/>
          <w:sz w:val="24"/>
          <w:szCs w:val="24"/>
          <w:lang w:val="en-US" w:eastAsia="zh-CN"/>
        </w:rPr>
        <w:t>砂石料工作中心</w:t>
      </w:r>
      <w:r>
        <w:rPr>
          <w:rFonts w:hint="eastAsia" w:ascii="宋体" w:hAnsi="宋体"/>
          <w:sz w:val="24"/>
          <w:szCs w:val="24"/>
        </w:rPr>
        <w:t>无偿收回无法堆放部份</w:t>
      </w:r>
      <w:r>
        <w:rPr>
          <w:rFonts w:hint="eastAsia" w:ascii="宋体" w:hAnsi="宋体"/>
          <w:sz w:val="24"/>
          <w:szCs w:val="24"/>
          <w:lang w:eastAsia="zh-CN"/>
        </w:rPr>
        <w:t>砂石料</w:t>
      </w:r>
      <w:r>
        <w:rPr>
          <w:rFonts w:hint="eastAsia" w:ascii="宋体" w:hAnsi="宋体"/>
          <w:sz w:val="24"/>
          <w:szCs w:val="24"/>
        </w:rPr>
        <w:t>并由其全权处置，所产生的费用均由买受人承担。</w:t>
      </w:r>
    </w:p>
    <w:p>
      <w:pPr>
        <w:spacing w:line="360" w:lineRule="auto"/>
        <w:ind w:firstLine="420" w:firstLineChars="175"/>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、买受人的运输等行为引起的标的交割不及时，耽误工程建设进度相关的一切经济责任与法律责任由买受人自行承担。</w:t>
      </w:r>
    </w:p>
    <w:p>
      <w:pPr>
        <w:spacing w:line="360" w:lineRule="auto"/>
        <w:ind w:firstLine="480" w:firstLineChars="200"/>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、在交割点的使用过程中所造成的</w:t>
      </w:r>
      <w:r>
        <w:rPr>
          <w:rFonts w:hint="eastAsia" w:ascii="宋体" w:hAnsi="宋体"/>
          <w:sz w:val="24"/>
          <w:szCs w:val="24"/>
          <w:lang w:eastAsia="zh-CN"/>
        </w:rPr>
        <w:t>砂石料</w:t>
      </w:r>
      <w:r>
        <w:rPr>
          <w:rFonts w:hint="eastAsia" w:ascii="宋体" w:hAnsi="宋体"/>
          <w:sz w:val="24"/>
          <w:szCs w:val="24"/>
        </w:rPr>
        <w:t>损失已包含在成交价款中，其所产生的利润或风险，由买受人承担，成交价一律不作调整。</w:t>
      </w:r>
    </w:p>
    <w:p>
      <w:pPr>
        <w:spacing w:line="360" w:lineRule="auto"/>
        <w:ind w:firstLine="480" w:firstLineChars="200"/>
        <w:rPr>
          <w:rFonts w:hint="eastAsia" w:ascii="宋体" w:hAnsi="宋体"/>
          <w:sz w:val="24"/>
          <w:szCs w:val="24"/>
        </w:rPr>
      </w:pPr>
      <w:r>
        <w:rPr>
          <w:rFonts w:hint="eastAsia" w:ascii="宋体" w:hAnsi="宋体"/>
          <w:sz w:val="24"/>
          <w:szCs w:val="24"/>
          <w:lang w:val="en-US" w:eastAsia="zh-CN"/>
        </w:rPr>
        <w:t>6</w:t>
      </w:r>
      <w:r>
        <w:rPr>
          <w:rFonts w:hint="eastAsia" w:ascii="宋体" w:hAnsi="宋体"/>
          <w:sz w:val="24"/>
          <w:szCs w:val="24"/>
        </w:rPr>
        <w:t>、根据县政府有关规定，本次拍卖标的不作为新建制砂场的依据。</w:t>
      </w:r>
    </w:p>
    <w:p>
      <w:pPr>
        <w:spacing w:line="360" w:lineRule="auto"/>
        <w:ind w:firstLine="480" w:firstLineChars="200"/>
        <w:rPr>
          <w:rFonts w:hint="eastAsia" w:ascii="宋体" w:hAnsi="宋体"/>
          <w:sz w:val="24"/>
          <w:szCs w:val="24"/>
        </w:rPr>
      </w:pPr>
      <w:r>
        <w:rPr>
          <w:rFonts w:hint="eastAsia" w:ascii="宋体" w:hAnsi="宋体"/>
          <w:sz w:val="24"/>
          <w:szCs w:val="24"/>
          <w:lang w:val="en-US" w:eastAsia="zh-CN"/>
        </w:rPr>
        <w:t>7</w:t>
      </w:r>
      <w:r>
        <w:rPr>
          <w:rFonts w:hint="eastAsia" w:ascii="宋体" w:hAnsi="宋体"/>
          <w:sz w:val="24"/>
          <w:szCs w:val="24"/>
        </w:rPr>
        <w:t>、买受人为保证遵守青田县</w:t>
      </w:r>
      <w:r>
        <w:rPr>
          <w:rFonts w:hint="eastAsia" w:ascii="宋体" w:hAnsi="宋体"/>
          <w:sz w:val="24"/>
          <w:szCs w:val="24"/>
          <w:lang w:eastAsia="zh-CN"/>
        </w:rPr>
        <w:t>砂石料</w:t>
      </w:r>
      <w:r>
        <w:rPr>
          <w:rFonts w:hint="eastAsia" w:ascii="宋体" w:hAnsi="宋体"/>
          <w:sz w:val="24"/>
          <w:szCs w:val="24"/>
        </w:rPr>
        <w:t>行业有关管理规定，需向</w:t>
      </w:r>
      <w:r>
        <w:rPr>
          <w:rFonts w:hint="eastAsia" w:ascii="宋体" w:hAnsi="宋体" w:eastAsia="宋体"/>
          <w:color w:val="000000"/>
          <w:sz w:val="24"/>
          <w:szCs w:val="24"/>
          <w:lang w:val="en-US" w:eastAsia="zh-CN"/>
        </w:rPr>
        <w:t>青田县</w:t>
      </w:r>
      <w:r>
        <w:rPr>
          <w:rFonts w:hint="eastAsia" w:ascii="宋体" w:hAnsi="宋体"/>
          <w:color w:val="000000"/>
          <w:sz w:val="24"/>
          <w:szCs w:val="24"/>
          <w:lang w:val="en-US" w:eastAsia="zh-CN"/>
        </w:rPr>
        <w:t>砂石料工作中心</w:t>
      </w:r>
      <w:r>
        <w:rPr>
          <w:rFonts w:hint="eastAsia" w:ascii="宋体" w:hAnsi="宋体"/>
          <w:sz w:val="24"/>
          <w:szCs w:val="24"/>
        </w:rPr>
        <w:t>缴纳</w:t>
      </w:r>
      <w:r>
        <w:rPr>
          <w:rFonts w:hint="eastAsia" w:ascii="宋体" w:hAnsi="宋体"/>
          <w:color w:val="000000" w:themeColor="text1"/>
          <w:sz w:val="24"/>
          <w:szCs w:val="24"/>
          <w14:textFill>
            <w14:solidFill>
              <w14:schemeClr w14:val="tx1"/>
            </w14:solidFill>
          </w14:textFill>
        </w:rPr>
        <w:t>履约保证金</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履约保证金按累进制计算（</w:t>
      </w:r>
      <w:r>
        <w:rPr>
          <w:rFonts w:hint="eastAsia" w:ascii="宋体" w:hAnsi="宋体"/>
          <w:color w:val="000000" w:themeColor="text1"/>
          <w:sz w:val="24"/>
          <w:szCs w:val="24"/>
          <w:u w:val="single"/>
          <w14:textFill>
            <w14:solidFill>
              <w14:schemeClr w14:val="tx1"/>
            </w14:solidFill>
          </w14:textFill>
        </w:rPr>
        <w:t>各标的成交价的</w:t>
      </w:r>
      <w:r>
        <w:rPr>
          <w:rFonts w:hint="eastAsia" w:ascii="宋体" w:hAnsi="宋体"/>
          <w:color w:val="000000" w:themeColor="text1"/>
          <w:sz w:val="24"/>
          <w:szCs w:val="24"/>
          <w:u w:val="single"/>
          <w:lang w:val="en-US" w:eastAsia="zh-CN"/>
          <w14:textFill>
            <w14:solidFill>
              <w14:schemeClr w14:val="tx1"/>
            </w14:solidFill>
          </w14:textFill>
        </w:rPr>
        <w:t>0-1亿元部分，按20%</w:t>
      </w:r>
      <w:r>
        <w:rPr>
          <w:rFonts w:hint="eastAsia" w:ascii="宋体" w:hAnsi="宋体"/>
          <w:color w:val="000000" w:themeColor="text1"/>
          <w:sz w:val="24"/>
          <w:szCs w:val="24"/>
          <w:u w:val="single"/>
          <w14:textFill>
            <w14:solidFill>
              <w14:schemeClr w14:val="tx1"/>
            </w14:solidFill>
          </w14:textFill>
        </w:rPr>
        <w:t>缴纳</w:t>
      </w:r>
      <w:r>
        <w:rPr>
          <w:rFonts w:hint="eastAsia" w:ascii="宋体" w:hAnsi="宋体"/>
          <w:color w:val="000000" w:themeColor="text1"/>
          <w:sz w:val="24"/>
          <w:szCs w:val="24"/>
          <w:u w:val="single"/>
          <w:lang w:val="en-US" w:eastAsia="zh-CN"/>
          <w14:textFill>
            <w14:solidFill>
              <w14:schemeClr w14:val="tx1"/>
            </w14:solidFill>
          </w14:textFill>
        </w:rPr>
        <w:t>；1-5亿元部分，按10%</w:t>
      </w:r>
      <w:r>
        <w:rPr>
          <w:rFonts w:hint="eastAsia" w:ascii="宋体" w:hAnsi="宋体"/>
          <w:color w:val="000000" w:themeColor="text1"/>
          <w:sz w:val="24"/>
          <w:szCs w:val="24"/>
          <w:u w:val="single"/>
          <w14:textFill>
            <w14:solidFill>
              <w14:schemeClr w14:val="tx1"/>
            </w14:solidFill>
          </w14:textFill>
        </w:rPr>
        <w:t>缴纳</w:t>
      </w:r>
      <w:r>
        <w:rPr>
          <w:rFonts w:hint="eastAsia" w:ascii="宋体" w:hAnsi="宋体"/>
          <w:color w:val="000000" w:themeColor="text1"/>
          <w:sz w:val="24"/>
          <w:szCs w:val="24"/>
          <w:u w:val="single"/>
          <w:lang w:val="en-US" w:eastAsia="zh-CN"/>
          <w14:textFill>
            <w14:solidFill>
              <w14:schemeClr w14:val="tx1"/>
            </w14:solidFill>
          </w14:textFill>
        </w:rPr>
        <w:t>；5亿元以上部分，按5%</w:t>
      </w:r>
      <w:r>
        <w:rPr>
          <w:rFonts w:hint="eastAsia" w:ascii="宋体" w:hAnsi="宋体"/>
          <w:color w:val="000000" w:themeColor="text1"/>
          <w:sz w:val="24"/>
          <w:szCs w:val="24"/>
          <w:u w:val="single"/>
          <w14:textFill>
            <w14:solidFill>
              <w14:schemeClr w14:val="tx1"/>
            </w14:solidFill>
          </w14:textFill>
        </w:rPr>
        <w:t>缴纳</w:t>
      </w:r>
      <w:r>
        <w:rPr>
          <w:rFonts w:hint="eastAsia" w:ascii="宋体" w:hAnsi="宋体"/>
          <w:color w:val="000000" w:themeColor="text1"/>
          <w:sz w:val="24"/>
          <w:szCs w:val="24"/>
          <w:u w:val="none"/>
          <w14:textFill>
            <w14:solidFill>
              <w14:schemeClr w14:val="tx1"/>
            </w14:solidFill>
          </w14:textFill>
        </w:rPr>
        <w:t>）</w:t>
      </w:r>
      <w:r>
        <w:rPr>
          <w:rFonts w:hint="eastAsia" w:ascii="宋体" w:hAnsi="宋体"/>
          <w:color w:val="000000"/>
          <w:sz w:val="24"/>
          <w:szCs w:val="24"/>
        </w:rPr>
        <w:t>。</w:t>
      </w:r>
      <w:r>
        <w:rPr>
          <w:rFonts w:hint="eastAsia" w:ascii="宋体" w:hAnsi="宋体"/>
          <w:sz w:val="24"/>
          <w:szCs w:val="24"/>
        </w:rPr>
        <w:t>买受人</w:t>
      </w:r>
      <w:r>
        <w:rPr>
          <w:rFonts w:hint="eastAsia" w:ascii="宋体" w:hAnsi="宋体"/>
          <w:sz w:val="24"/>
          <w:szCs w:val="24"/>
          <w:lang w:eastAsia="zh-CN"/>
        </w:rPr>
        <w:t>砂石料</w:t>
      </w:r>
      <w:r>
        <w:rPr>
          <w:rFonts w:hint="eastAsia" w:ascii="宋体" w:hAnsi="宋体"/>
          <w:sz w:val="24"/>
          <w:szCs w:val="24"/>
        </w:rPr>
        <w:t>运输、存放过程中发生违法行为和扰乱</w:t>
      </w:r>
      <w:r>
        <w:rPr>
          <w:rFonts w:hint="eastAsia" w:ascii="宋体" w:hAnsi="宋体"/>
          <w:sz w:val="24"/>
          <w:szCs w:val="24"/>
          <w:lang w:eastAsia="zh-CN"/>
        </w:rPr>
        <w:t>砂石料</w:t>
      </w:r>
      <w:r>
        <w:rPr>
          <w:rFonts w:hint="eastAsia" w:ascii="宋体" w:hAnsi="宋体"/>
          <w:sz w:val="24"/>
          <w:szCs w:val="24"/>
        </w:rPr>
        <w:t>行业秩序等违约行为的，第一次委托人口头警告；第二次委托人向买受人发出书面通知并扣除履约保证金总额的30%；第三次委托人有权终止合同并没收履约保证金总额的70%。在工程挖方结束、</w:t>
      </w:r>
      <w:r>
        <w:rPr>
          <w:rFonts w:hint="eastAsia" w:ascii="宋体" w:hAnsi="宋体"/>
          <w:sz w:val="24"/>
          <w:szCs w:val="24"/>
          <w:lang w:eastAsia="zh-CN"/>
        </w:rPr>
        <w:t>砂石料</w:t>
      </w:r>
      <w:r>
        <w:rPr>
          <w:rFonts w:hint="eastAsia" w:ascii="宋体" w:hAnsi="宋体"/>
          <w:sz w:val="24"/>
          <w:szCs w:val="24"/>
        </w:rPr>
        <w:t>清运完毕一个月后，未发现买受人违法、或扰乱</w:t>
      </w:r>
      <w:r>
        <w:rPr>
          <w:rFonts w:hint="eastAsia" w:ascii="宋体" w:hAnsi="宋体"/>
          <w:sz w:val="24"/>
          <w:szCs w:val="24"/>
          <w:lang w:eastAsia="zh-CN"/>
        </w:rPr>
        <w:t>砂石料</w:t>
      </w:r>
      <w:r>
        <w:rPr>
          <w:rFonts w:hint="eastAsia" w:ascii="宋体" w:hAnsi="宋体"/>
          <w:sz w:val="24"/>
          <w:szCs w:val="24"/>
        </w:rPr>
        <w:t>行业秩序等违约行为的，全额予以退返（不计息）。</w:t>
      </w:r>
    </w:p>
    <w:p>
      <w:pPr>
        <w:spacing w:line="360" w:lineRule="auto"/>
        <w:ind w:firstLine="420" w:firstLineChars="175"/>
        <w:rPr>
          <w:rFonts w:hint="eastAsia" w:ascii="宋体" w:hAnsi="宋体"/>
          <w:sz w:val="24"/>
          <w:szCs w:val="24"/>
        </w:rPr>
      </w:pPr>
      <w:r>
        <w:rPr>
          <w:rFonts w:hint="eastAsia" w:ascii="宋体" w:hAnsi="宋体"/>
          <w:sz w:val="24"/>
          <w:szCs w:val="24"/>
          <w:lang w:val="en-US" w:eastAsia="zh-CN"/>
        </w:rPr>
        <w:t>8</w:t>
      </w:r>
      <w:r>
        <w:rPr>
          <w:rFonts w:hint="eastAsia" w:ascii="宋体" w:hAnsi="宋体"/>
          <w:sz w:val="24"/>
          <w:szCs w:val="24"/>
        </w:rPr>
        <w:t>、买受人须到税务部门办理税务登记，接受县税务部门关于资源税、增值税的纳税辅导和办理相关缴纳手续，凭县税务部门出具的《纳税辅导完结工作联系单》签订《</w:t>
      </w:r>
      <w:r>
        <w:rPr>
          <w:rFonts w:hint="eastAsia" w:ascii="宋体" w:hAnsi="宋体"/>
          <w:sz w:val="24"/>
          <w:szCs w:val="24"/>
          <w:lang w:eastAsia="zh-CN"/>
        </w:rPr>
        <w:t>砂石料</w:t>
      </w:r>
      <w:r>
        <w:rPr>
          <w:rFonts w:hint="eastAsia" w:ascii="宋体" w:hAnsi="宋体"/>
          <w:sz w:val="24"/>
          <w:szCs w:val="24"/>
        </w:rPr>
        <w:t>出让合同书》。</w:t>
      </w:r>
    </w:p>
    <w:p>
      <w:pPr>
        <w:spacing w:line="360" w:lineRule="auto"/>
        <w:ind w:firstLine="480" w:firstLineChars="200"/>
        <w:rPr>
          <w:rFonts w:hint="eastAsia" w:ascii="宋体" w:hAnsi="宋体"/>
          <w:sz w:val="24"/>
          <w:szCs w:val="24"/>
        </w:rPr>
      </w:pPr>
      <w:r>
        <w:rPr>
          <w:rFonts w:hint="eastAsia" w:ascii="宋体" w:hAnsi="宋体"/>
          <w:sz w:val="24"/>
          <w:szCs w:val="24"/>
        </w:rPr>
        <w:t>十一、拍卖人有权根据委托人的要求撤销拍卖标的的拍卖。</w:t>
      </w:r>
    </w:p>
    <w:p>
      <w:pPr>
        <w:spacing w:line="360" w:lineRule="auto"/>
        <w:ind w:firstLine="480" w:firstLineChars="200"/>
        <w:rPr>
          <w:rFonts w:hint="eastAsia" w:ascii="宋体" w:hAnsi="宋体"/>
          <w:b/>
          <w:sz w:val="24"/>
          <w:szCs w:val="24"/>
        </w:rPr>
      </w:pPr>
      <w:r>
        <w:rPr>
          <w:rFonts w:hint="eastAsia" w:ascii="宋体" w:hAnsi="宋体"/>
          <w:sz w:val="24"/>
          <w:szCs w:val="24"/>
        </w:rPr>
        <w:t>十二、本须知的内容请竞买人务必认真阅读，有任何疑义请当场立即向拍卖人咨询，竞买人一旦进入拍卖会场即被认为知悉并愿意遵守和履行本须知的各项条款与内容。拍卖人有权根据实际情况对拍卖材料进行修正或补充，拍卖人可在拍卖活动举行之前书面通知竞买人，也可以在拍卖正式开始前由拍卖师当场进行口头说明。竞买人举牌应价或书面报价的，均被视为已经知悉并接受认可该修正或补充。本竞买须知及修正与补充均作为《拍卖成交确认书》的附件，具有法律效力。</w:t>
      </w:r>
    </w:p>
    <w:p>
      <w:pPr>
        <w:spacing w:line="360" w:lineRule="auto"/>
        <w:ind w:firstLine="480" w:firstLineChars="200"/>
        <w:rPr>
          <w:rFonts w:hint="eastAsia" w:ascii="宋体" w:hAnsi="宋体"/>
          <w:sz w:val="24"/>
          <w:szCs w:val="24"/>
        </w:rPr>
      </w:pPr>
      <w:r>
        <w:rPr>
          <w:rFonts w:hint="eastAsia" w:ascii="宋体" w:hAnsi="宋体"/>
          <w:sz w:val="24"/>
          <w:szCs w:val="24"/>
        </w:rPr>
        <w:t>十三、退还保证金</w:t>
      </w:r>
      <w:r>
        <w:rPr>
          <w:rFonts w:hint="eastAsia" w:ascii="宋体" w:hAnsi="宋体"/>
          <w:color w:val="000000"/>
          <w:sz w:val="24"/>
          <w:szCs w:val="24"/>
        </w:rPr>
        <w:t>依据“谁报名、退给谁”的原则，即收款人户名和账号须与交纳竞买保证金时的信息一致。如竞买未成交，在拍卖会结束后五个工作日内由本人亲自到</w:t>
      </w:r>
      <w:r>
        <w:rPr>
          <w:rFonts w:hint="eastAsia" w:ascii="宋体" w:hAnsi="宋体"/>
          <w:sz w:val="24"/>
          <w:szCs w:val="24"/>
        </w:rPr>
        <w:t>青田县政府采购招投标交易中心</w:t>
      </w:r>
      <w:r>
        <w:rPr>
          <w:rFonts w:hint="eastAsia" w:ascii="宋体" w:hAnsi="宋体" w:eastAsia="宋体"/>
          <w:color w:val="000000"/>
          <w:sz w:val="24"/>
          <w:szCs w:val="24"/>
          <w:lang w:val="zh-CN"/>
        </w:rPr>
        <w:t>（青田县瓯南街道华侨总部经济大楼12楼）</w:t>
      </w:r>
      <w:r>
        <w:rPr>
          <w:rFonts w:hint="eastAsia" w:ascii="宋体" w:hAnsi="宋体"/>
          <w:sz w:val="24"/>
          <w:szCs w:val="24"/>
          <w:lang w:val="en-US" w:eastAsia="zh-CN"/>
        </w:rPr>
        <w:t>财务室</w:t>
      </w:r>
      <w:r>
        <w:rPr>
          <w:rFonts w:hint="eastAsia" w:ascii="宋体" w:hAnsi="宋体"/>
          <w:color w:val="000000"/>
          <w:sz w:val="24"/>
          <w:szCs w:val="24"/>
        </w:rPr>
        <w:t>办理</w:t>
      </w:r>
      <w:r>
        <w:rPr>
          <w:rFonts w:hint="eastAsia" w:ascii="宋体" w:hAnsi="宋体"/>
          <w:sz w:val="24"/>
          <w:szCs w:val="24"/>
        </w:rPr>
        <w:t>竞买保证金退还手续。</w:t>
      </w:r>
    </w:p>
    <w:p>
      <w:pPr>
        <w:spacing w:line="360" w:lineRule="auto"/>
        <w:ind w:firstLine="480" w:firstLineChars="200"/>
        <w:rPr>
          <w:rFonts w:hint="eastAsia" w:ascii="宋体" w:hAnsi="宋体"/>
          <w:sz w:val="24"/>
          <w:szCs w:val="24"/>
        </w:rPr>
      </w:pPr>
    </w:p>
    <w:p>
      <w:pPr>
        <w:spacing w:line="360" w:lineRule="auto"/>
        <w:ind w:firstLine="480" w:firstLineChars="200"/>
        <w:rPr>
          <w:rFonts w:hint="eastAsia" w:ascii="宋体" w:hAnsi="宋体"/>
          <w:sz w:val="24"/>
          <w:szCs w:val="24"/>
        </w:rPr>
      </w:pPr>
    </w:p>
    <w:p>
      <w:pPr>
        <w:spacing w:line="360" w:lineRule="auto"/>
        <w:ind w:firstLine="480" w:firstLineChars="200"/>
        <w:rPr>
          <w:rFonts w:hint="eastAsia" w:ascii="宋体" w:hAnsi="宋体"/>
          <w:sz w:val="24"/>
          <w:szCs w:val="24"/>
        </w:rPr>
      </w:pPr>
    </w:p>
    <w:p>
      <w:pPr>
        <w:spacing w:line="360" w:lineRule="auto"/>
        <w:ind w:firstLine="480" w:firstLineChars="200"/>
        <w:rPr>
          <w:rFonts w:hint="eastAsia" w:ascii="宋体" w:hAnsi="宋体"/>
          <w:sz w:val="24"/>
          <w:szCs w:val="24"/>
        </w:rPr>
      </w:pPr>
    </w:p>
    <w:p>
      <w:pPr>
        <w:spacing w:line="360" w:lineRule="auto"/>
        <w:ind w:firstLine="480" w:firstLineChars="200"/>
        <w:rPr>
          <w:rFonts w:hint="eastAsia" w:ascii="宋体" w:hAnsi="宋体"/>
          <w:sz w:val="24"/>
          <w:szCs w:val="24"/>
        </w:rPr>
      </w:pPr>
    </w:p>
    <w:p>
      <w:pPr>
        <w:spacing w:line="360" w:lineRule="auto"/>
        <w:rPr>
          <w:rFonts w:hint="eastAsia" w:ascii="宋体" w:hAnsi="宋体"/>
          <w:sz w:val="24"/>
          <w:szCs w:val="24"/>
        </w:rPr>
      </w:pPr>
    </w:p>
    <w:p>
      <w:pPr>
        <w:spacing w:line="360" w:lineRule="auto"/>
        <w:ind w:firstLine="480" w:firstLineChars="200"/>
        <w:rPr>
          <w:rFonts w:hint="eastAsia" w:ascii="宋体" w:hAnsi="宋体"/>
          <w:sz w:val="24"/>
          <w:szCs w:val="24"/>
        </w:rPr>
      </w:pPr>
    </w:p>
    <w:p>
      <w:pPr>
        <w:spacing w:line="360" w:lineRule="auto"/>
        <w:ind w:firstLine="480" w:firstLineChars="200"/>
        <w:rPr>
          <w:rFonts w:hint="eastAsia" w:ascii="宋体" w:hAnsi="宋体"/>
          <w:sz w:val="24"/>
          <w:szCs w:val="24"/>
          <w:lang w:eastAsia="zh-CN"/>
        </w:rPr>
      </w:pPr>
      <w:r>
        <w:rPr>
          <w:rFonts w:hint="eastAsia" w:ascii="宋体" w:hAnsi="宋体"/>
          <w:sz w:val="24"/>
          <w:szCs w:val="24"/>
        </w:rPr>
        <w:t>十四、本次</w:t>
      </w:r>
      <w:r>
        <w:rPr>
          <w:rFonts w:hint="eastAsia" w:ascii="宋体" w:hAnsi="宋体"/>
          <w:sz w:val="24"/>
          <w:szCs w:val="24"/>
          <w:lang w:eastAsia="zh-CN"/>
        </w:rPr>
        <w:t>拍卖项目成交，按下列收费标准向买受人收取拍卖佣金：</w:t>
      </w:r>
    </w:p>
    <w:tbl>
      <w:tblPr>
        <w:tblStyle w:val="11"/>
        <w:tblW w:w="101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98"/>
        <w:gridCol w:w="4146"/>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35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szCs w:val="24"/>
                <w:vertAlign w:val="baseline"/>
                <w:lang w:eastAsia="zh-CN"/>
              </w:rPr>
            </w:pPr>
            <w:r>
              <w:rPr>
                <w:rFonts w:hint="eastAsia" w:ascii="宋体" w:hAnsi="宋体"/>
                <w:sz w:val="24"/>
                <w:szCs w:val="24"/>
                <w:vertAlign w:val="baseline"/>
                <w:lang w:eastAsia="zh-CN"/>
              </w:rPr>
              <w:t>成交价（人民币）</w:t>
            </w:r>
          </w:p>
        </w:tc>
        <w:tc>
          <w:tcPr>
            <w:tcW w:w="41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szCs w:val="24"/>
                <w:vertAlign w:val="baseline"/>
                <w:lang w:eastAsia="zh-CN"/>
              </w:rPr>
            </w:pPr>
            <w:r>
              <w:rPr>
                <w:rFonts w:hint="eastAsia" w:ascii="宋体" w:hAnsi="宋体"/>
                <w:sz w:val="24"/>
                <w:szCs w:val="24"/>
                <w:vertAlign w:val="baseline"/>
                <w:lang w:eastAsia="zh-CN"/>
              </w:rPr>
              <w:t>收费标准</w:t>
            </w:r>
          </w:p>
        </w:tc>
        <w:tc>
          <w:tcPr>
            <w:tcW w:w="24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szCs w:val="24"/>
                <w:vertAlign w:val="baseline"/>
                <w:lang w:eastAsia="zh-CN"/>
              </w:rPr>
            </w:pPr>
            <w:r>
              <w:rPr>
                <w:rFonts w:hint="eastAsia" w:ascii="宋体" w:hAnsi="宋体"/>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szCs w:val="24"/>
                <w:vertAlign w:val="baseline"/>
                <w:lang w:val="en-US" w:eastAsia="zh-CN"/>
              </w:rPr>
            </w:pPr>
            <w:r>
              <w:rPr>
                <w:rFonts w:hint="eastAsia" w:ascii="宋体" w:hAnsi="宋体"/>
                <w:sz w:val="24"/>
                <w:szCs w:val="24"/>
                <w:vertAlign w:val="baseline"/>
                <w:lang w:eastAsia="zh-CN"/>
              </w:rPr>
              <w:t>不超过</w:t>
            </w:r>
            <w:r>
              <w:rPr>
                <w:rFonts w:hint="eastAsia" w:ascii="宋体" w:hAnsi="宋体"/>
                <w:sz w:val="24"/>
                <w:szCs w:val="24"/>
                <w:vertAlign w:val="baseline"/>
                <w:lang w:val="en-US" w:eastAsia="zh-CN"/>
              </w:rPr>
              <w:t>50万元的部分</w:t>
            </w:r>
          </w:p>
          <w:p>
            <w:pPr>
              <w:spacing w:line="360" w:lineRule="auto"/>
              <w:jc w:val="center"/>
              <w:rPr>
                <w:rFonts w:hint="default" w:ascii="宋体" w:hAnsi="宋体"/>
                <w:sz w:val="24"/>
                <w:szCs w:val="24"/>
                <w:vertAlign w:val="baseline"/>
                <w:lang w:val="en-US" w:eastAsia="zh-CN"/>
              </w:rPr>
            </w:pPr>
            <w:r>
              <w:rPr>
                <w:rFonts w:hint="eastAsia" w:ascii="宋体" w:hAnsi="宋体"/>
                <w:sz w:val="24"/>
                <w:szCs w:val="24"/>
                <w:vertAlign w:val="baseline"/>
                <w:lang w:val="en-US" w:eastAsia="zh-CN"/>
              </w:rPr>
              <w:t>（含50万）</w:t>
            </w:r>
          </w:p>
        </w:tc>
        <w:tc>
          <w:tcPr>
            <w:tcW w:w="41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szCs w:val="24"/>
                <w:vertAlign w:val="baseline"/>
                <w:lang w:val="en-US" w:eastAsia="zh-CN"/>
              </w:rPr>
            </w:pPr>
            <w:r>
              <w:rPr>
                <w:rFonts w:hint="eastAsia" w:ascii="宋体" w:hAnsi="宋体"/>
                <w:sz w:val="24"/>
                <w:szCs w:val="24"/>
                <w:vertAlign w:val="baseline"/>
                <w:lang w:eastAsia="zh-CN"/>
              </w:rPr>
              <w:t>成交价的</w:t>
            </w:r>
            <w:r>
              <w:rPr>
                <w:rFonts w:hint="eastAsia" w:ascii="宋体" w:hAnsi="宋体"/>
                <w:sz w:val="24"/>
                <w:szCs w:val="24"/>
                <w:vertAlign w:val="baseline"/>
                <w:lang w:val="en-US" w:eastAsia="zh-CN"/>
              </w:rPr>
              <w:t>1.5%</w:t>
            </w:r>
          </w:p>
          <w:p>
            <w:pPr>
              <w:spacing w:line="360" w:lineRule="auto"/>
              <w:jc w:val="center"/>
              <w:rPr>
                <w:rFonts w:hint="default" w:ascii="宋体" w:hAnsi="宋体"/>
                <w:sz w:val="24"/>
                <w:szCs w:val="24"/>
                <w:vertAlign w:val="baseline"/>
                <w:lang w:val="en-US" w:eastAsia="zh-CN"/>
              </w:rPr>
            </w:pPr>
            <w:r>
              <w:rPr>
                <w:rFonts w:hint="eastAsia" w:ascii="宋体" w:hAnsi="宋体"/>
                <w:sz w:val="24"/>
                <w:szCs w:val="24"/>
                <w:vertAlign w:val="baseline"/>
                <w:lang w:val="en-US" w:eastAsia="zh-CN"/>
              </w:rPr>
              <w:t>（不足3000元按3000元计算）</w:t>
            </w:r>
          </w:p>
        </w:tc>
        <w:tc>
          <w:tcPr>
            <w:tcW w:w="241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szCs w:val="24"/>
                <w:vertAlign w:val="baseline"/>
                <w:lang w:eastAsia="zh-CN"/>
              </w:rPr>
            </w:pPr>
            <w:r>
              <w:rPr>
                <w:rFonts w:hint="eastAsia" w:ascii="宋体" w:hAnsi="宋体"/>
                <w:sz w:val="24"/>
                <w:szCs w:val="24"/>
                <w:vertAlign w:val="baseline"/>
                <w:lang w:eastAsia="zh-CN"/>
              </w:rPr>
              <w:t>收费标准实行累进收费办法。</w:t>
            </w:r>
          </w:p>
          <w:p>
            <w:pPr>
              <w:spacing w:line="360" w:lineRule="auto"/>
              <w:jc w:val="center"/>
              <w:rPr>
                <w:rFonts w:hint="eastAsia" w:ascii="宋体" w:hAnsi="宋体"/>
                <w:sz w:val="24"/>
                <w:szCs w:val="24"/>
                <w:vertAlign w:val="baseline"/>
                <w:lang w:eastAsia="zh-CN"/>
              </w:rPr>
            </w:pPr>
            <w:r>
              <w:rPr>
                <w:rFonts w:hint="eastAsia" w:ascii="宋体" w:hAnsi="宋体"/>
                <w:sz w:val="24"/>
                <w:szCs w:val="24"/>
                <w:vertAlign w:val="baseline"/>
                <w:lang w:eastAsia="zh-CN"/>
              </w:rPr>
              <w:t>对照相应比例收取。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szCs w:val="24"/>
                <w:vertAlign w:val="baseline"/>
                <w:lang w:val="en-US" w:eastAsia="zh-CN"/>
              </w:rPr>
            </w:pPr>
            <w:r>
              <w:rPr>
                <w:rFonts w:hint="eastAsia" w:ascii="宋体" w:hAnsi="宋体"/>
                <w:sz w:val="24"/>
                <w:szCs w:val="24"/>
                <w:vertAlign w:val="baseline"/>
                <w:lang w:eastAsia="zh-CN"/>
              </w:rPr>
              <w:t>超过</w:t>
            </w:r>
            <w:r>
              <w:rPr>
                <w:rFonts w:hint="eastAsia" w:ascii="宋体" w:hAnsi="宋体"/>
                <w:sz w:val="24"/>
                <w:szCs w:val="24"/>
                <w:vertAlign w:val="baseline"/>
                <w:lang w:val="en-US" w:eastAsia="zh-CN"/>
              </w:rPr>
              <w:t>50万至500万元的部分</w:t>
            </w:r>
          </w:p>
          <w:p>
            <w:pPr>
              <w:spacing w:line="360" w:lineRule="auto"/>
              <w:jc w:val="center"/>
              <w:rPr>
                <w:rFonts w:hint="eastAsia" w:ascii="宋体" w:hAnsi="宋体"/>
                <w:sz w:val="24"/>
                <w:szCs w:val="24"/>
                <w:vertAlign w:val="baseline"/>
                <w:lang w:eastAsia="zh-CN"/>
              </w:rPr>
            </w:pPr>
            <w:r>
              <w:rPr>
                <w:rFonts w:hint="eastAsia" w:ascii="宋体" w:hAnsi="宋体"/>
                <w:sz w:val="24"/>
                <w:szCs w:val="24"/>
                <w:vertAlign w:val="baseline"/>
                <w:lang w:val="en-US" w:eastAsia="zh-CN"/>
              </w:rPr>
              <w:t>（含500万元）</w:t>
            </w:r>
          </w:p>
        </w:tc>
        <w:tc>
          <w:tcPr>
            <w:tcW w:w="41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sz w:val="24"/>
                <w:szCs w:val="24"/>
                <w:vertAlign w:val="baseline"/>
                <w:lang w:val="en-US" w:eastAsia="zh-CN"/>
              </w:rPr>
            </w:pPr>
            <w:r>
              <w:rPr>
                <w:rFonts w:hint="eastAsia" w:ascii="宋体" w:hAnsi="宋体"/>
                <w:sz w:val="24"/>
                <w:szCs w:val="24"/>
                <w:vertAlign w:val="baseline"/>
                <w:lang w:eastAsia="zh-CN"/>
              </w:rPr>
              <w:t>成交价的</w:t>
            </w:r>
            <w:r>
              <w:rPr>
                <w:rFonts w:hint="eastAsia" w:ascii="宋体" w:hAnsi="宋体"/>
                <w:sz w:val="24"/>
                <w:szCs w:val="24"/>
                <w:vertAlign w:val="baseline"/>
                <w:lang w:val="en-US" w:eastAsia="zh-CN"/>
              </w:rPr>
              <w:t>1%</w:t>
            </w:r>
          </w:p>
        </w:tc>
        <w:tc>
          <w:tcPr>
            <w:tcW w:w="24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szCs w:val="24"/>
                <w:vertAlign w:val="baseline"/>
                <w:lang w:eastAsia="zh-CN"/>
              </w:rPr>
            </w:pPr>
            <w:r>
              <w:rPr>
                <w:rFonts w:hint="eastAsia" w:ascii="宋体" w:hAnsi="宋体"/>
                <w:sz w:val="24"/>
                <w:szCs w:val="24"/>
                <w:vertAlign w:val="baseline"/>
                <w:lang w:eastAsia="zh-CN"/>
              </w:rPr>
              <w:t>超过</w:t>
            </w:r>
            <w:r>
              <w:rPr>
                <w:rFonts w:hint="eastAsia" w:ascii="宋体" w:hAnsi="宋体"/>
                <w:sz w:val="24"/>
                <w:szCs w:val="24"/>
                <w:vertAlign w:val="baseline"/>
                <w:lang w:val="en-US" w:eastAsia="zh-CN"/>
              </w:rPr>
              <w:t>500万至1000万元的部分（含1000万元）</w:t>
            </w:r>
          </w:p>
        </w:tc>
        <w:tc>
          <w:tcPr>
            <w:tcW w:w="41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sz w:val="24"/>
                <w:szCs w:val="24"/>
                <w:vertAlign w:val="baseline"/>
                <w:lang w:val="en-US" w:eastAsia="zh-CN"/>
              </w:rPr>
            </w:pPr>
            <w:r>
              <w:rPr>
                <w:rFonts w:hint="eastAsia" w:ascii="宋体" w:hAnsi="宋体"/>
                <w:sz w:val="24"/>
                <w:szCs w:val="24"/>
                <w:vertAlign w:val="baseline"/>
                <w:lang w:eastAsia="zh-CN"/>
              </w:rPr>
              <w:t>成交价的</w:t>
            </w:r>
            <w:r>
              <w:rPr>
                <w:rFonts w:hint="eastAsia" w:ascii="宋体" w:hAnsi="宋体"/>
                <w:sz w:val="24"/>
                <w:szCs w:val="24"/>
                <w:vertAlign w:val="baseline"/>
                <w:lang w:val="en-US" w:eastAsia="zh-CN"/>
              </w:rPr>
              <w:t>0.5%</w:t>
            </w:r>
          </w:p>
        </w:tc>
        <w:tc>
          <w:tcPr>
            <w:tcW w:w="24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35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szCs w:val="24"/>
                <w:vertAlign w:val="baseline"/>
                <w:lang w:eastAsia="zh-CN"/>
              </w:rPr>
            </w:pPr>
            <w:r>
              <w:rPr>
                <w:rFonts w:hint="eastAsia" w:ascii="宋体" w:hAnsi="宋体"/>
                <w:sz w:val="24"/>
                <w:szCs w:val="24"/>
                <w:vertAlign w:val="baseline"/>
                <w:lang w:val="en-US" w:eastAsia="zh-CN"/>
              </w:rPr>
              <w:t>超过1000万元的以上部分</w:t>
            </w:r>
          </w:p>
        </w:tc>
        <w:tc>
          <w:tcPr>
            <w:tcW w:w="41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sz w:val="24"/>
                <w:szCs w:val="24"/>
                <w:vertAlign w:val="baseline"/>
                <w:lang w:val="en-US" w:eastAsia="zh-CN"/>
              </w:rPr>
            </w:pPr>
            <w:r>
              <w:rPr>
                <w:rFonts w:hint="eastAsia" w:ascii="宋体" w:hAnsi="宋体"/>
                <w:sz w:val="24"/>
                <w:szCs w:val="24"/>
                <w:vertAlign w:val="baseline"/>
                <w:lang w:eastAsia="zh-CN"/>
              </w:rPr>
              <w:t>成交价的</w:t>
            </w:r>
            <w:r>
              <w:rPr>
                <w:rFonts w:hint="eastAsia" w:ascii="宋体" w:hAnsi="宋体"/>
                <w:sz w:val="24"/>
                <w:szCs w:val="24"/>
                <w:vertAlign w:val="baseline"/>
                <w:lang w:val="en-US" w:eastAsia="zh-CN"/>
              </w:rPr>
              <w:t>0.1%</w:t>
            </w:r>
          </w:p>
        </w:tc>
        <w:tc>
          <w:tcPr>
            <w:tcW w:w="24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szCs w:val="24"/>
                <w:vertAlign w:val="baseline"/>
                <w:lang w:eastAsia="zh-CN"/>
              </w:rPr>
            </w:pPr>
          </w:p>
        </w:tc>
      </w:tr>
    </w:tbl>
    <w:p>
      <w:pPr>
        <w:spacing w:line="360" w:lineRule="auto"/>
        <w:ind w:firstLine="482" w:firstLineChars="200"/>
        <w:rPr>
          <w:rFonts w:hint="eastAsia" w:ascii="宋体" w:hAnsi="宋体"/>
          <w:b/>
          <w:sz w:val="24"/>
          <w:szCs w:val="24"/>
        </w:rPr>
      </w:pPr>
    </w:p>
    <w:p>
      <w:pPr>
        <w:spacing w:line="360" w:lineRule="auto"/>
        <w:ind w:firstLine="482" w:firstLineChars="200"/>
        <w:rPr>
          <w:rFonts w:hint="eastAsia" w:ascii="宋体" w:hAnsi="宋体"/>
          <w:b/>
          <w:sz w:val="24"/>
          <w:szCs w:val="24"/>
        </w:rPr>
      </w:pPr>
      <w:r>
        <w:rPr>
          <w:rFonts w:hint="eastAsia" w:ascii="宋体" w:hAnsi="宋体"/>
          <w:b/>
          <w:sz w:val="24"/>
          <w:szCs w:val="24"/>
        </w:rPr>
        <w:t>十</w:t>
      </w:r>
      <w:r>
        <w:rPr>
          <w:rFonts w:hint="eastAsia" w:ascii="宋体" w:hAnsi="宋体"/>
          <w:b/>
          <w:sz w:val="24"/>
          <w:szCs w:val="24"/>
          <w:lang w:val="en-US" w:eastAsia="zh-CN"/>
        </w:rPr>
        <w:t>五</w:t>
      </w:r>
      <w:r>
        <w:rPr>
          <w:rFonts w:hint="eastAsia" w:ascii="宋体" w:hAnsi="宋体"/>
          <w:b/>
          <w:sz w:val="24"/>
          <w:szCs w:val="24"/>
        </w:rPr>
        <w:t>、其他说明：</w:t>
      </w:r>
    </w:p>
    <w:p>
      <w:pPr>
        <w:spacing w:line="360" w:lineRule="auto"/>
        <w:ind w:firstLine="480" w:firstLineChars="200"/>
        <w:rPr>
          <w:rFonts w:hint="eastAsia" w:ascii="宋体" w:hAnsi="宋体"/>
          <w:sz w:val="24"/>
          <w:szCs w:val="24"/>
        </w:rPr>
      </w:pPr>
      <w:r>
        <w:rPr>
          <w:rFonts w:hint="eastAsia" w:ascii="宋体" w:hAnsi="宋体"/>
          <w:sz w:val="24"/>
          <w:szCs w:val="24"/>
        </w:rPr>
        <w:t>1、本次拍卖的所有时限均以北京时间为标准，拍卖会实际开始时间与拍卖公告所指拍卖时间允许有合理幅度的提前或延迟；</w:t>
      </w:r>
    </w:p>
    <w:p>
      <w:pPr>
        <w:spacing w:line="360" w:lineRule="auto"/>
        <w:ind w:firstLine="480" w:firstLineChars="200"/>
        <w:rPr>
          <w:rFonts w:hint="eastAsia" w:ascii="宋体" w:hAnsi="宋体"/>
          <w:sz w:val="24"/>
          <w:szCs w:val="24"/>
        </w:rPr>
      </w:pPr>
      <w:r>
        <w:rPr>
          <w:rFonts w:hint="eastAsia" w:ascii="宋体" w:hAnsi="宋体"/>
          <w:sz w:val="24"/>
          <w:szCs w:val="24"/>
        </w:rPr>
        <w:t>2、本次拍卖所有款项以人民币结算，结算账号由本公司指定；</w:t>
      </w:r>
    </w:p>
    <w:p>
      <w:pPr>
        <w:spacing w:line="360" w:lineRule="auto"/>
        <w:ind w:firstLine="480" w:firstLineChars="200"/>
        <w:rPr>
          <w:rFonts w:hint="eastAsia" w:ascii="宋体" w:hAnsi="宋体"/>
          <w:sz w:val="24"/>
          <w:szCs w:val="24"/>
        </w:rPr>
      </w:pPr>
      <w:r>
        <w:rPr>
          <w:rFonts w:hint="eastAsia" w:ascii="宋体" w:hAnsi="宋体"/>
          <w:sz w:val="24"/>
          <w:szCs w:val="24"/>
        </w:rPr>
        <w:t>3、拍卖会上拍卖师以落槌或者以其他公开表示买定的方式示意成交时，交易合同即告成立，《拍卖成交确认书》是对合同成立的进一步书面固定，买受人拒绝签署《拍卖成交确认书》的，不影响拍卖成交；</w:t>
      </w:r>
    </w:p>
    <w:p>
      <w:pPr>
        <w:spacing w:line="360" w:lineRule="auto"/>
        <w:ind w:firstLine="480" w:firstLineChars="200"/>
        <w:rPr>
          <w:rFonts w:hint="eastAsia" w:ascii="宋体" w:hAnsi="宋体"/>
          <w:sz w:val="24"/>
          <w:szCs w:val="24"/>
        </w:rPr>
      </w:pPr>
      <w:r>
        <w:rPr>
          <w:rFonts w:hint="eastAsia" w:ascii="宋体" w:hAnsi="宋体"/>
          <w:sz w:val="24"/>
          <w:szCs w:val="24"/>
        </w:rPr>
        <w:t>4、拍卖相关文件均以盖章文件为准。如因不可抗力的原因所引起的一切事宜，委托人和拍卖人不承担任何责任。拍卖人对本次拍卖会拥有最终解释权。</w:t>
      </w:r>
    </w:p>
    <w:p>
      <w:pPr>
        <w:spacing w:line="360" w:lineRule="auto"/>
        <w:ind w:left="5250" w:leftChars="2500" w:firstLine="900" w:firstLineChars="375"/>
        <w:rPr>
          <w:rFonts w:hint="eastAsia" w:ascii="宋体" w:hAnsi="宋体"/>
          <w:sz w:val="24"/>
          <w:szCs w:val="24"/>
        </w:rPr>
      </w:pPr>
    </w:p>
    <w:p>
      <w:pPr>
        <w:spacing w:line="360" w:lineRule="auto"/>
        <w:ind w:firstLine="480" w:firstLineChars="200"/>
        <w:jc w:val="center"/>
        <w:rPr>
          <w:rFonts w:hint="eastAsia"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lang w:eastAsia="zh-CN"/>
        </w:rPr>
        <w:t>丽水中侨拍卖行有限公司</w:t>
      </w:r>
    </w:p>
    <w:p>
      <w:pPr>
        <w:spacing w:line="360" w:lineRule="auto"/>
        <w:rPr>
          <w:rFonts w:hint="eastAsia" w:ascii="宋体" w:hAnsi="宋体"/>
          <w:sz w:val="24"/>
          <w:szCs w:val="24"/>
        </w:rPr>
        <w:sectPr>
          <w:endnotePr>
            <w:numFmt w:val="decimal"/>
          </w:endnotePr>
          <w:pgSz w:w="11906" w:h="16838"/>
          <w:pgMar w:top="1134" w:right="1134" w:bottom="907" w:left="1134" w:header="567" w:footer="567" w:gutter="0"/>
          <w:pgNumType w:fmt="decimal"/>
          <w:cols w:space="720" w:num="1"/>
          <w:docGrid w:linePitch="312" w:charSpace="0"/>
        </w:sectPr>
      </w:pPr>
    </w:p>
    <w:p>
      <w:pPr>
        <w:pStyle w:val="2"/>
        <w:spacing w:before="120" w:beforeLines="50" w:after="120" w:afterLines="50" w:line="360" w:lineRule="auto"/>
        <w:jc w:val="center"/>
        <w:rPr>
          <w:rFonts w:hint="eastAsia" w:ascii="宋体" w:hAnsi="宋体"/>
          <w:sz w:val="36"/>
          <w:szCs w:val="36"/>
        </w:rPr>
      </w:pPr>
      <w:bookmarkStart w:id="5" w:name="_Toc476475365"/>
      <w:r>
        <w:rPr>
          <w:rFonts w:hint="eastAsia" w:ascii="宋体" w:hAnsi="宋体"/>
          <w:sz w:val="36"/>
          <w:szCs w:val="36"/>
        </w:rPr>
        <w:t>第三章  拍卖会现场秩序管理办法</w:t>
      </w:r>
      <w:bookmarkEnd w:id="5"/>
    </w:p>
    <w:p>
      <w:pPr>
        <w:spacing w:line="360" w:lineRule="auto"/>
        <w:ind w:firstLine="420" w:firstLineChars="175"/>
        <w:rPr>
          <w:rFonts w:hint="eastAsia" w:ascii="宋体" w:hAnsi="宋体"/>
          <w:sz w:val="24"/>
          <w:szCs w:val="24"/>
        </w:rPr>
      </w:pPr>
      <w:r>
        <w:rPr>
          <w:rFonts w:hint="eastAsia" w:ascii="宋体" w:hAnsi="宋体"/>
          <w:sz w:val="24"/>
          <w:szCs w:val="24"/>
        </w:rPr>
        <w:t>一、竞买人及其随行人员须凭竞买报名时拍卖公司提供的“拍卖会入场券”入场，原则上竞买人可领取不超过2张“拍卖会入场券”。</w:t>
      </w:r>
    </w:p>
    <w:p>
      <w:pPr>
        <w:spacing w:line="360" w:lineRule="auto"/>
        <w:ind w:firstLine="420" w:firstLineChars="175"/>
        <w:rPr>
          <w:rFonts w:hint="eastAsia" w:ascii="宋体" w:hAnsi="宋体"/>
          <w:sz w:val="24"/>
          <w:szCs w:val="24"/>
        </w:rPr>
      </w:pPr>
      <w:r>
        <w:rPr>
          <w:rFonts w:hint="eastAsia" w:ascii="宋体" w:hAnsi="宋体"/>
          <w:sz w:val="24"/>
          <w:szCs w:val="24"/>
        </w:rPr>
        <w:t>二、有资格进入拍卖会现场的人员：</w:t>
      </w:r>
    </w:p>
    <w:p>
      <w:pPr>
        <w:spacing w:line="360" w:lineRule="auto"/>
        <w:ind w:firstLine="420" w:firstLineChars="175"/>
        <w:rPr>
          <w:rFonts w:hint="eastAsia" w:ascii="宋体" w:hAnsi="宋体"/>
          <w:sz w:val="24"/>
          <w:szCs w:val="24"/>
        </w:rPr>
      </w:pPr>
      <w:r>
        <w:rPr>
          <w:rFonts w:hint="eastAsia" w:ascii="宋体" w:hAnsi="宋体"/>
          <w:sz w:val="24"/>
          <w:szCs w:val="24"/>
        </w:rPr>
        <w:t>（一）领有“拍卖会入场券”的有效竞买人及其随行人员；</w:t>
      </w:r>
    </w:p>
    <w:p>
      <w:pPr>
        <w:spacing w:line="360" w:lineRule="auto"/>
        <w:ind w:firstLine="420" w:firstLineChars="175"/>
        <w:rPr>
          <w:rFonts w:hint="eastAsia" w:ascii="宋体" w:hAnsi="宋体"/>
          <w:sz w:val="24"/>
          <w:szCs w:val="24"/>
        </w:rPr>
      </w:pPr>
      <w:r>
        <w:rPr>
          <w:rFonts w:hint="eastAsia" w:ascii="宋体" w:hAnsi="宋体"/>
          <w:sz w:val="24"/>
          <w:szCs w:val="24"/>
        </w:rPr>
        <w:t>（二）佩戴工作证的拍卖公司工作人员；</w:t>
      </w:r>
    </w:p>
    <w:p>
      <w:pPr>
        <w:spacing w:line="360" w:lineRule="auto"/>
        <w:ind w:firstLine="420" w:firstLineChars="175"/>
        <w:rPr>
          <w:rFonts w:hint="eastAsia" w:ascii="宋体" w:hAnsi="宋体"/>
          <w:sz w:val="24"/>
          <w:szCs w:val="24"/>
        </w:rPr>
      </w:pPr>
      <w:r>
        <w:rPr>
          <w:rFonts w:hint="eastAsia" w:ascii="宋体" w:hAnsi="宋体"/>
          <w:sz w:val="24"/>
          <w:szCs w:val="24"/>
        </w:rPr>
        <w:t>（三）产权单位领导及工作人员；</w:t>
      </w:r>
    </w:p>
    <w:p>
      <w:pPr>
        <w:spacing w:line="360" w:lineRule="auto"/>
        <w:ind w:firstLine="420" w:firstLineChars="175"/>
        <w:rPr>
          <w:rFonts w:hint="eastAsia" w:ascii="宋体" w:hAnsi="宋体"/>
          <w:sz w:val="24"/>
          <w:szCs w:val="24"/>
        </w:rPr>
      </w:pPr>
      <w:r>
        <w:rPr>
          <w:rFonts w:hint="eastAsia" w:ascii="宋体" w:hAnsi="宋体"/>
          <w:sz w:val="24"/>
          <w:szCs w:val="24"/>
        </w:rPr>
        <w:t>三、拍卖会现场竞买人或其他人员如有以下行为的，拍卖师宣布中止拍卖，由拍卖公司工作人员、安保人员进行劝阻，待中止拍卖的事由消失后，恢复拍卖：</w:t>
      </w:r>
    </w:p>
    <w:p>
      <w:pPr>
        <w:spacing w:line="360" w:lineRule="auto"/>
        <w:ind w:firstLine="420" w:firstLineChars="175"/>
        <w:rPr>
          <w:rFonts w:hint="eastAsia" w:ascii="宋体" w:hAnsi="宋体"/>
          <w:sz w:val="24"/>
          <w:szCs w:val="24"/>
        </w:rPr>
      </w:pPr>
      <w:r>
        <w:rPr>
          <w:rFonts w:hint="eastAsia" w:ascii="宋体" w:hAnsi="宋体"/>
          <w:sz w:val="24"/>
          <w:szCs w:val="24"/>
        </w:rPr>
        <w:t>（一）在会场内随意走动、大声喧哗的；</w:t>
      </w:r>
    </w:p>
    <w:p>
      <w:pPr>
        <w:spacing w:line="360" w:lineRule="auto"/>
        <w:ind w:firstLine="420" w:firstLineChars="175"/>
        <w:rPr>
          <w:rFonts w:hint="eastAsia" w:ascii="宋体" w:hAnsi="宋体"/>
          <w:sz w:val="24"/>
          <w:szCs w:val="24"/>
        </w:rPr>
      </w:pPr>
      <w:r>
        <w:rPr>
          <w:rFonts w:hint="eastAsia" w:ascii="宋体" w:hAnsi="宋体"/>
          <w:sz w:val="24"/>
          <w:szCs w:val="24"/>
        </w:rPr>
        <w:t>（二）其他妨碍拍卖师正常操作、影响拍卖会正常秩序的行为。</w:t>
      </w:r>
    </w:p>
    <w:p>
      <w:pPr>
        <w:spacing w:line="360" w:lineRule="auto"/>
        <w:ind w:firstLine="420" w:firstLineChars="175"/>
        <w:rPr>
          <w:rFonts w:hint="eastAsia" w:ascii="宋体" w:hAnsi="宋体"/>
          <w:sz w:val="24"/>
          <w:szCs w:val="24"/>
        </w:rPr>
      </w:pPr>
      <w:r>
        <w:rPr>
          <w:rFonts w:hint="eastAsia" w:ascii="宋体" w:hAnsi="宋体"/>
          <w:sz w:val="24"/>
          <w:szCs w:val="24"/>
        </w:rPr>
        <w:t>四、拍卖会现场竞买人或其他人员如有以下行为的，拍卖师宣布中止拍卖，可以取消其竞买资格，责令其立即离开会场，待中止拍卖的事由消失后，恢复拍卖：</w:t>
      </w:r>
    </w:p>
    <w:p>
      <w:pPr>
        <w:spacing w:line="360" w:lineRule="auto"/>
        <w:ind w:firstLine="420" w:firstLineChars="175"/>
        <w:rPr>
          <w:rFonts w:hint="eastAsia" w:ascii="宋体" w:hAnsi="宋体"/>
          <w:sz w:val="24"/>
          <w:szCs w:val="24"/>
        </w:rPr>
      </w:pPr>
      <w:r>
        <w:rPr>
          <w:rFonts w:hint="eastAsia" w:ascii="宋体" w:hAnsi="宋体"/>
          <w:sz w:val="24"/>
          <w:szCs w:val="24"/>
        </w:rPr>
        <w:t>（一）违反本办法第三条的规定经劝阻后无效的；</w:t>
      </w:r>
    </w:p>
    <w:p>
      <w:pPr>
        <w:spacing w:line="360" w:lineRule="auto"/>
        <w:ind w:firstLine="420" w:firstLineChars="175"/>
        <w:rPr>
          <w:rFonts w:hint="eastAsia" w:ascii="宋体" w:hAnsi="宋体"/>
          <w:sz w:val="24"/>
          <w:szCs w:val="24"/>
        </w:rPr>
      </w:pPr>
      <w:r>
        <w:rPr>
          <w:rFonts w:hint="eastAsia" w:ascii="宋体" w:hAnsi="宋体"/>
          <w:sz w:val="24"/>
          <w:szCs w:val="24"/>
        </w:rPr>
        <w:t>（二）恶意串通、操纵、垄断的；</w:t>
      </w:r>
    </w:p>
    <w:p>
      <w:pPr>
        <w:spacing w:line="360" w:lineRule="auto"/>
        <w:ind w:firstLine="420" w:firstLineChars="175"/>
        <w:rPr>
          <w:rFonts w:hint="eastAsia" w:ascii="宋体" w:hAnsi="宋体"/>
          <w:sz w:val="24"/>
          <w:szCs w:val="24"/>
        </w:rPr>
      </w:pPr>
      <w:r>
        <w:rPr>
          <w:rFonts w:hint="eastAsia" w:ascii="宋体" w:hAnsi="宋体"/>
          <w:sz w:val="24"/>
          <w:szCs w:val="24"/>
        </w:rPr>
        <w:t>（三）威胁、阻挠其他竞买人竞价的；</w:t>
      </w:r>
    </w:p>
    <w:p>
      <w:pPr>
        <w:spacing w:line="360" w:lineRule="auto"/>
        <w:ind w:firstLine="420" w:firstLineChars="175"/>
        <w:rPr>
          <w:rFonts w:hint="eastAsia" w:ascii="宋体" w:hAnsi="宋体"/>
          <w:sz w:val="24"/>
          <w:szCs w:val="24"/>
        </w:rPr>
      </w:pPr>
      <w:r>
        <w:rPr>
          <w:rFonts w:hint="eastAsia" w:ascii="宋体" w:hAnsi="宋体"/>
          <w:sz w:val="24"/>
          <w:szCs w:val="24"/>
        </w:rPr>
        <w:t>（四）其他严重妨碍拍卖师正常操作、影响拍卖会正常秩序的行为。</w:t>
      </w:r>
    </w:p>
    <w:p>
      <w:pPr>
        <w:spacing w:line="500" w:lineRule="exact"/>
        <w:ind w:firstLine="420" w:firstLineChars="175"/>
        <w:rPr>
          <w:rFonts w:hint="eastAsia" w:ascii="宋体" w:hAnsi="宋体"/>
          <w:sz w:val="24"/>
          <w:szCs w:val="24"/>
        </w:rPr>
        <w:sectPr>
          <w:endnotePr>
            <w:numFmt w:val="decimal"/>
          </w:endnotePr>
          <w:pgSz w:w="11906" w:h="16838"/>
          <w:pgMar w:top="1134" w:right="1134" w:bottom="907" w:left="1134" w:header="567" w:footer="567" w:gutter="0"/>
          <w:pgNumType w:fmt="decimal"/>
          <w:cols w:space="720" w:num="1"/>
          <w:docGrid w:linePitch="312" w:charSpace="0"/>
        </w:sectPr>
      </w:pPr>
    </w:p>
    <w:p>
      <w:pPr>
        <w:pStyle w:val="2"/>
        <w:spacing w:before="120" w:beforeLines="50" w:after="120" w:afterLines="50" w:line="400" w:lineRule="exact"/>
        <w:jc w:val="center"/>
        <w:rPr>
          <w:rFonts w:hint="eastAsia" w:ascii="宋体" w:hAnsi="宋体"/>
          <w:sz w:val="36"/>
          <w:szCs w:val="36"/>
        </w:rPr>
      </w:pPr>
      <w:bookmarkStart w:id="6" w:name="_Toc383174580"/>
      <w:bookmarkStart w:id="7" w:name="_Toc476475366"/>
      <w:r>
        <w:rPr>
          <w:rFonts w:hint="eastAsia" w:ascii="宋体" w:hAnsi="宋体"/>
          <w:sz w:val="36"/>
          <w:szCs w:val="36"/>
        </w:rPr>
        <w:t xml:space="preserve">第四章  </w:t>
      </w:r>
      <w:bookmarkEnd w:id="6"/>
      <w:r>
        <w:rPr>
          <w:rFonts w:hint="eastAsia" w:ascii="宋体" w:hAnsi="宋体"/>
          <w:sz w:val="36"/>
          <w:szCs w:val="36"/>
        </w:rPr>
        <w:t>竞买申请书（格式）</w:t>
      </w:r>
      <w:bookmarkEnd w:id="7"/>
    </w:p>
    <w:p>
      <w:pPr>
        <w:rPr>
          <w:rFonts w:hint="eastAsia"/>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008"/>
        <w:gridCol w:w="899"/>
        <w:gridCol w:w="899"/>
        <w:gridCol w:w="1079"/>
        <w:gridCol w:w="811"/>
        <w:gridCol w:w="809"/>
        <w:gridCol w:w="3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97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竞买单位名称</w:t>
            </w:r>
          </w:p>
          <w:p>
            <w:pPr>
              <w:spacing w:line="400" w:lineRule="exact"/>
              <w:jc w:val="center"/>
              <w:rPr>
                <w:rFonts w:ascii="宋体" w:hAnsi="宋体"/>
                <w:sz w:val="24"/>
              </w:rPr>
            </w:pPr>
            <w:r>
              <w:rPr>
                <w:rFonts w:hint="eastAsia" w:ascii="宋体" w:hAnsi="宋体"/>
                <w:sz w:val="24"/>
              </w:rPr>
              <w:t>（或个人）</w:t>
            </w:r>
          </w:p>
        </w:tc>
        <w:tc>
          <w:tcPr>
            <w:tcW w:w="3688"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拍卖编号</w:t>
            </w:r>
          </w:p>
        </w:tc>
        <w:tc>
          <w:tcPr>
            <w:tcW w:w="304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default" w:ascii="宋体" w:hAnsi="宋体"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联系人</w:t>
            </w:r>
          </w:p>
        </w:tc>
        <w:tc>
          <w:tcPr>
            <w:tcW w:w="190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 w:val="24"/>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 w:val="24"/>
              </w:rPr>
            </w:pPr>
            <w:r>
              <w:rPr>
                <w:rFonts w:hint="eastAsia" w:ascii="宋体" w:hAnsi="宋体"/>
                <w:sz w:val="24"/>
              </w:rPr>
              <w:t>电话</w:t>
            </w:r>
          </w:p>
        </w:tc>
        <w:tc>
          <w:tcPr>
            <w:tcW w:w="189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手机</w:t>
            </w:r>
          </w:p>
        </w:tc>
        <w:tc>
          <w:tcPr>
            <w:tcW w:w="30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竞买</w:t>
            </w:r>
          </w:p>
          <w:p>
            <w:pPr>
              <w:spacing w:line="400" w:lineRule="exact"/>
              <w:jc w:val="center"/>
              <w:rPr>
                <w:rFonts w:ascii="宋体" w:hAnsi="宋体"/>
                <w:sz w:val="24"/>
              </w:rPr>
            </w:pPr>
            <w:r>
              <w:rPr>
                <w:rFonts w:hint="eastAsia" w:ascii="宋体" w:hAnsi="宋体"/>
                <w:sz w:val="24"/>
              </w:rPr>
              <w:t>标的</w:t>
            </w:r>
          </w:p>
        </w:tc>
        <w:tc>
          <w:tcPr>
            <w:tcW w:w="2806"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sz w:val="24"/>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sz w:val="24"/>
              </w:rPr>
            </w:pPr>
            <w:r>
              <w:rPr>
                <w:rFonts w:hint="eastAsia" w:ascii="宋体" w:hAnsi="宋体"/>
                <w:sz w:val="24"/>
              </w:rPr>
              <w:t>保证金</w:t>
            </w:r>
          </w:p>
        </w:tc>
        <w:tc>
          <w:tcPr>
            <w:tcW w:w="4661"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3"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成</w:t>
            </w:r>
          </w:p>
          <w:p>
            <w:pPr>
              <w:spacing w:line="400" w:lineRule="exact"/>
              <w:jc w:val="center"/>
              <w:rPr>
                <w:rFonts w:hint="eastAsia" w:ascii="宋体" w:hAnsi="宋体"/>
                <w:sz w:val="24"/>
              </w:rPr>
            </w:pPr>
            <w:r>
              <w:rPr>
                <w:rFonts w:hint="eastAsia" w:ascii="宋体" w:hAnsi="宋体"/>
                <w:sz w:val="24"/>
              </w:rPr>
              <w:t>交</w:t>
            </w:r>
          </w:p>
          <w:p>
            <w:pPr>
              <w:spacing w:line="400" w:lineRule="exact"/>
              <w:jc w:val="center"/>
              <w:rPr>
                <w:rFonts w:hint="eastAsia" w:ascii="宋体" w:hAnsi="宋体"/>
                <w:sz w:val="24"/>
              </w:rPr>
            </w:pPr>
            <w:r>
              <w:rPr>
                <w:rFonts w:hint="eastAsia" w:ascii="宋体" w:hAnsi="宋体"/>
                <w:sz w:val="24"/>
              </w:rPr>
              <w:t>承</w:t>
            </w:r>
          </w:p>
          <w:p>
            <w:pPr>
              <w:spacing w:line="400" w:lineRule="exact"/>
              <w:jc w:val="center"/>
              <w:rPr>
                <w:rFonts w:ascii="宋体" w:hAnsi="宋体"/>
                <w:sz w:val="24"/>
              </w:rPr>
            </w:pPr>
            <w:r>
              <w:rPr>
                <w:rFonts w:hint="eastAsia" w:ascii="宋体" w:hAnsi="宋体"/>
                <w:sz w:val="24"/>
              </w:rPr>
              <w:t>诺</w:t>
            </w:r>
          </w:p>
        </w:tc>
        <w:tc>
          <w:tcPr>
            <w:tcW w:w="8546" w:type="dxa"/>
            <w:gridSpan w:val="7"/>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b/>
                <w:sz w:val="24"/>
              </w:rPr>
            </w:pPr>
            <w:r>
              <w:rPr>
                <w:rFonts w:hint="eastAsia" w:ascii="宋体" w:hAnsi="宋体"/>
                <w:b/>
                <w:sz w:val="24"/>
              </w:rPr>
              <w:t>本单位（本人）声明：</w:t>
            </w:r>
          </w:p>
          <w:p>
            <w:pPr>
              <w:spacing w:line="400" w:lineRule="exact"/>
              <w:ind w:firstLine="480" w:firstLineChars="200"/>
              <w:rPr>
                <w:rFonts w:hint="eastAsia" w:ascii="宋体" w:hAnsi="宋体"/>
                <w:sz w:val="24"/>
                <w:u w:val="single"/>
              </w:rPr>
            </w:pPr>
            <w:r>
              <w:rPr>
                <w:rFonts w:hint="eastAsia" w:ascii="宋体" w:hAnsi="宋体"/>
                <w:sz w:val="24"/>
              </w:rPr>
              <w:t>1.按要求提交身份证件及材料，并承诺保证所提交证件及材料真实有效，承诺向拍卖人交纳的竞买保证金真实、合法。</w:t>
            </w:r>
          </w:p>
          <w:p>
            <w:pPr>
              <w:spacing w:line="400" w:lineRule="exact"/>
              <w:ind w:firstLine="480" w:firstLineChars="200"/>
              <w:rPr>
                <w:rFonts w:hint="eastAsia" w:ascii="宋体" w:hAnsi="宋体"/>
                <w:sz w:val="24"/>
              </w:rPr>
            </w:pPr>
            <w:r>
              <w:rPr>
                <w:rFonts w:hint="eastAsia" w:ascii="宋体" w:hAnsi="宋体"/>
                <w:sz w:val="24"/>
              </w:rPr>
              <w:t>2.对欲拍卖的标的进行了看样、调查，接受标的实际状况（包括显性、隐性瑕疵等各方面情况），承诺对自愿按标的实际状况参与拍卖的行为负责。</w:t>
            </w:r>
          </w:p>
          <w:p>
            <w:pPr>
              <w:spacing w:line="400" w:lineRule="exact"/>
              <w:ind w:firstLine="480" w:firstLineChars="200"/>
              <w:rPr>
                <w:rFonts w:hint="eastAsia" w:ascii="宋体" w:hAnsi="宋体"/>
                <w:sz w:val="24"/>
              </w:rPr>
            </w:pPr>
            <w:r>
              <w:rPr>
                <w:rFonts w:hint="eastAsia" w:ascii="宋体" w:hAnsi="宋体"/>
                <w:sz w:val="24"/>
              </w:rPr>
              <w:t>3.签署本申请表前，已仔细阅读当场拍卖文件资料，充分知悉、理解其中内容，承诺在遵守和履行其中规定性条款的前提下参与拍卖活动，承担相应法律责任，不以拍卖文件资料具有格式合同性质为由规避法律责任。</w:t>
            </w:r>
          </w:p>
          <w:p>
            <w:pPr>
              <w:spacing w:line="400" w:lineRule="exact"/>
              <w:ind w:firstLine="480" w:firstLineChars="200"/>
              <w:rPr>
                <w:rFonts w:hint="eastAsia" w:ascii="宋体" w:hAnsi="宋体"/>
                <w:sz w:val="24"/>
              </w:rPr>
            </w:pPr>
            <w:r>
              <w:rPr>
                <w:rFonts w:hint="eastAsia" w:ascii="宋体" w:hAnsi="宋体"/>
                <w:sz w:val="24"/>
              </w:rPr>
              <w:t>4.委托人可能在拍卖正式开始前依法撤回标的，拍卖会可能因其他法定原因而中止或取消，在拍卖活动中竞买人也并非一定拍卖成功，若出现前述情况，我方完全接受事实，配合办理退还保证金等手续，不向委托人及拍卖人追索任何费用与责任。</w:t>
            </w:r>
          </w:p>
          <w:p>
            <w:pPr>
              <w:spacing w:line="400" w:lineRule="exact"/>
              <w:ind w:firstLine="480" w:firstLineChars="200"/>
              <w:rPr>
                <w:rFonts w:ascii="宋体" w:hAnsi="宋体"/>
                <w:sz w:val="24"/>
              </w:rPr>
            </w:pPr>
            <w:r>
              <w:rPr>
                <w:rFonts w:hint="eastAsia" w:ascii="宋体" w:hAnsi="宋体"/>
                <w:sz w:val="24"/>
              </w:rPr>
              <w:t>5.承诺参与现场竞价时自觉遵守现场秩序，配合拍卖师拍卖操作，不进行串通、操纵、垄断等违法行为，否则愿承担相应法律责任。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9517"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eastAsia="仿宋_GB2312"/>
                <w:sz w:val="24"/>
              </w:rPr>
            </w:pPr>
            <w:r>
              <w:rPr>
                <w:rFonts w:hint="eastAsia" w:ascii="宋体" w:hAnsi="宋体"/>
                <w:sz w:val="24"/>
              </w:rPr>
              <w:t>竞买人签章：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7" w:hRule="atLeast"/>
          <w:jc w:val="center"/>
        </w:trPr>
        <w:tc>
          <w:tcPr>
            <w:tcW w:w="9517" w:type="dxa"/>
            <w:gridSpan w:val="8"/>
            <w:tcBorders>
              <w:top w:val="single" w:color="auto" w:sz="4" w:space="0"/>
              <w:left w:val="nil"/>
              <w:bottom w:val="nil"/>
              <w:right w:val="nil"/>
            </w:tcBorders>
            <w:noWrap w:val="0"/>
            <w:vAlign w:val="top"/>
          </w:tcPr>
          <w:p>
            <w:pPr>
              <w:spacing w:line="400" w:lineRule="exact"/>
              <w:rPr>
                <w:rFonts w:hint="eastAsia" w:ascii="宋体" w:hAnsi="宋体"/>
                <w:sz w:val="18"/>
                <w:szCs w:val="18"/>
              </w:rPr>
            </w:pPr>
          </w:p>
          <w:p>
            <w:pPr>
              <w:spacing w:line="600" w:lineRule="exact"/>
              <w:rPr>
                <w:rFonts w:hint="eastAsia" w:ascii="宋体" w:hAnsi="宋体"/>
                <w:sz w:val="24"/>
              </w:rPr>
            </w:pPr>
            <w:r>
              <w:rPr>
                <w:rFonts w:hint="eastAsia" w:ascii="宋体" w:hAnsi="宋体"/>
                <w:sz w:val="24"/>
              </w:rPr>
              <w:t>报名材料附件：1.</w:t>
            </w:r>
            <w:r>
              <w:rPr>
                <w:rFonts w:hint="eastAsia" w:ascii="宋体" w:hAnsi="宋体"/>
                <w:sz w:val="24"/>
                <w:u w:val="single"/>
              </w:rPr>
              <w:t xml:space="preserve">             </w:t>
            </w:r>
            <w:r>
              <w:rPr>
                <w:rFonts w:hint="eastAsia" w:ascii="宋体" w:hAnsi="宋体"/>
                <w:sz w:val="24"/>
              </w:rPr>
              <w:t xml:space="preserve"> 2.</w:t>
            </w:r>
            <w:r>
              <w:rPr>
                <w:rFonts w:hint="eastAsia" w:ascii="宋体" w:hAnsi="宋体"/>
                <w:sz w:val="24"/>
                <w:u w:val="single"/>
              </w:rPr>
              <w:t xml:space="preserve">             </w:t>
            </w:r>
            <w:r>
              <w:rPr>
                <w:rFonts w:hint="eastAsia" w:ascii="宋体" w:hAnsi="宋体"/>
                <w:sz w:val="24"/>
              </w:rPr>
              <w:t xml:space="preserve"> 3.</w:t>
            </w:r>
            <w:r>
              <w:rPr>
                <w:rFonts w:hint="eastAsia" w:ascii="宋体" w:hAnsi="宋体"/>
                <w:sz w:val="24"/>
                <w:u w:val="single"/>
              </w:rPr>
              <w:t xml:space="preserve">             </w:t>
            </w:r>
            <w:r>
              <w:rPr>
                <w:rFonts w:hint="eastAsia" w:ascii="宋体" w:hAnsi="宋体"/>
                <w:sz w:val="24"/>
              </w:rPr>
              <w:t xml:space="preserve"> 4.</w:t>
            </w:r>
            <w:r>
              <w:rPr>
                <w:rFonts w:hint="eastAsia" w:ascii="宋体" w:hAnsi="宋体"/>
                <w:sz w:val="24"/>
                <w:u w:val="single"/>
              </w:rPr>
              <w:t xml:space="preserve">               </w:t>
            </w:r>
          </w:p>
          <w:p>
            <w:pPr>
              <w:spacing w:line="600" w:lineRule="exact"/>
              <w:ind w:firstLine="1680" w:firstLineChars="700"/>
              <w:rPr>
                <w:rFonts w:hint="eastAsia" w:ascii="宋体" w:hAnsi="宋体"/>
                <w:sz w:val="24"/>
                <w:u w:val="single"/>
              </w:rPr>
            </w:pPr>
            <w:r>
              <w:rPr>
                <w:rFonts w:hint="eastAsia" w:ascii="宋体" w:hAnsi="宋体"/>
                <w:sz w:val="24"/>
              </w:rPr>
              <w:t>5.</w:t>
            </w:r>
            <w:r>
              <w:rPr>
                <w:rFonts w:hint="eastAsia" w:ascii="宋体" w:hAnsi="宋体"/>
                <w:sz w:val="24"/>
                <w:u w:val="single"/>
              </w:rPr>
              <w:t xml:space="preserve">             </w:t>
            </w:r>
            <w:r>
              <w:rPr>
                <w:rFonts w:hint="eastAsia" w:ascii="宋体" w:hAnsi="宋体"/>
                <w:sz w:val="24"/>
              </w:rPr>
              <w:t xml:space="preserve"> 6.</w:t>
            </w:r>
            <w:r>
              <w:rPr>
                <w:rFonts w:hint="eastAsia" w:ascii="宋体" w:hAnsi="宋体"/>
                <w:sz w:val="24"/>
                <w:u w:val="single"/>
              </w:rPr>
              <w:t xml:space="preserve">              </w:t>
            </w:r>
            <w:r>
              <w:rPr>
                <w:rFonts w:hint="eastAsia" w:ascii="宋体" w:hAnsi="宋体"/>
                <w:sz w:val="24"/>
              </w:rPr>
              <w:t>7.</w:t>
            </w:r>
            <w:r>
              <w:rPr>
                <w:rFonts w:hint="eastAsia" w:ascii="宋体" w:hAnsi="宋体"/>
                <w:sz w:val="24"/>
                <w:u w:val="single"/>
              </w:rPr>
              <w:t xml:space="preserve">             </w:t>
            </w:r>
            <w:r>
              <w:rPr>
                <w:rFonts w:hint="eastAsia" w:ascii="宋体" w:hAnsi="宋体"/>
                <w:sz w:val="24"/>
              </w:rPr>
              <w:t xml:space="preserve"> 8.</w:t>
            </w:r>
            <w:r>
              <w:rPr>
                <w:rFonts w:hint="eastAsia" w:ascii="宋体" w:hAnsi="宋体"/>
                <w:sz w:val="24"/>
                <w:u w:val="single"/>
              </w:rPr>
              <w:t xml:space="preserve">               </w:t>
            </w:r>
          </w:p>
        </w:tc>
      </w:tr>
    </w:tbl>
    <w:p>
      <w:pPr>
        <w:spacing w:line="440" w:lineRule="exact"/>
        <w:rPr>
          <w:rFonts w:hint="eastAsia" w:ascii="宋体" w:hAnsi="宋体"/>
          <w:b/>
          <w:sz w:val="24"/>
          <w:szCs w:val="24"/>
        </w:rPr>
        <w:sectPr>
          <w:endnotePr>
            <w:numFmt w:val="decimal"/>
          </w:endnotePr>
          <w:pgSz w:w="11906" w:h="16838"/>
          <w:pgMar w:top="1134" w:right="1134" w:bottom="907" w:left="1134" w:header="567" w:footer="567" w:gutter="0"/>
          <w:pgNumType w:fmt="decimal"/>
          <w:cols w:space="720" w:num="1"/>
          <w:docGrid w:linePitch="312" w:charSpace="0"/>
        </w:sectPr>
      </w:pPr>
    </w:p>
    <w:p>
      <w:pPr>
        <w:pStyle w:val="2"/>
        <w:spacing w:before="120" w:beforeLines="50" w:after="0" w:line="400" w:lineRule="exact"/>
        <w:jc w:val="center"/>
        <w:rPr>
          <w:rFonts w:hint="eastAsia" w:ascii="宋体" w:hAnsi="宋体"/>
          <w:sz w:val="36"/>
          <w:szCs w:val="36"/>
        </w:rPr>
      </w:pPr>
      <w:bookmarkStart w:id="8" w:name="_Toc476475367"/>
      <w:r>
        <w:rPr>
          <w:rFonts w:hint="eastAsia" w:ascii="宋体" w:hAnsi="宋体"/>
          <w:sz w:val="36"/>
          <w:szCs w:val="36"/>
        </w:rPr>
        <w:t>第五章  拍卖成交确认书（样本）</w:t>
      </w:r>
      <w:bookmarkEnd w:id="8"/>
    </w:p>
    <w:p>
      <w:pPr>
        <w:widowControl/>
        <w:spacing w:line="300" w:lineRule="exact"/>
        <w:ind w:firstLine="420" w:firstLineChars="200"/>
        <w:jc w:val="center"/>
        <w:textAlignment w:val="baseline"/>
        <w:rPr>
          <w:rFonts w:hint="eastAsia" w:ascii="宋体" w:hAnsi="宋体"/>
          <w:color w:val="auto"/>
          <w:szCs w:val="21"/>
        </w:rPr>
      </w:pPr>
    </w:p>
    <w:p>
      <w:pPr>
        <w:widowControl/>
        <w:spacing w:line="240" w:lineRule="atLeast"/>
        <w:ind w:firstLine="480" w:firstLineChars="200"/>
        <w:jc w:val="left"/>
        <w:textAlignment w:val="baseline"/>
        <w:rPr>
          <w:rFonts w:hint="eastAsia" w:ascii="宋体" w:hAnsi="宋体" w:eastAsia="宋体"/>
          <w:color w:val="000000"/>
          <w:sz w:val="24"/>
          <w:szCs w:val="24"/>
          <w:lang w:val="zh-CN"/>
        </w:rPr>
      </w:pPr>
      <w:r>
        <w:rPr>
          <w:rFonts w:hint="eastAsia" w:ascii="宋体" w:hAnsi="宋体"/>
          <w:color w:val="auto"/>
          <w:sz w:val="24"/>
          <w:szCs w:val="24"/>
        </w:rPr>
        <w:t>买受人在拍卖人于202</w:t>
      </w:r>
      <w:r>
        <w:rPr>
          <w:rFonts w:hint="eastAsia" w:ascii="宋体" w:hAnsi="宋体"/>
          <w:color w:val="auto"/>
          <w:sz w:val="24"/>
          <w:szCs w:val="24"/>
          <w:lang w:val="en-US" w:eastAsia="zh-CN"/>
        </w:rPr>
        <w:t>3</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7</w:t>
      </w:r>
      <w:r>
        <w:rPr>
          <w:rFonts w:hint="eastAsia" w:ascii="宋体" w:hAnsi="宋体"/>
          <w:color w:val="auto"/>
          <w:sz w:val="24"/>
          <w:szCs w:val="24"/>
        </w:rPr>
        <w:t>日</w:t>
      </w:r>
      <w:r>
        <w:rPr>
          <w:rFonts w:hint="eastAsia" w:ascii="宋体" w:hAnsi="宋体"/>
          <w:color w:val="auto"/>
          <w:sz w:val="24"/>
          <w:szCs w:val="24"/>
          <w:lang w:val="en-US" w:eastAsia="zh-CN"/>
        </w:rPr>
        <w:t>下午14:30</w:t>
      </w:r>
      <w:r>
        <w:rPr>
          <w:rFonts w:hint="eastAsia" w:ascii="宋体" w:hAnsi="宋体"/>
          <w:sz w:val="24"/>
          <w:szCs w:val="24"/>
        </w:rPr>
        <w:t>在</w:t>
      </w:r>
      <w:r>
        <w:rPr>
          <w:rFonts w:hint="eastAsia" w:ascii="宋体" w:hAnsi="宋体"/>
          <w:color w:val="000000"/>
          <w:sz w:val="24"/>
          <w:szCs w:val="24"/>
          <w:lang w:val="zh-CN"/>
        </w:rPr>
        <w:t>青田县瓯南街道百悦城5幢（华侨总部经济大楼）12楼1206招投标中心开标室（二）</w:t>
      </w:r>
      <w:r>
        <w:rPr>
          <w:rFonts w:hint="eastAsia" w:ascii="宋体" w:hAnsi="宋体" w:eastAsia="宋体"/>
          <w:color w:val="000000"/>
          <w:sz w:val="24"/>
          <w:szCs w:val="24"/>
          <w:lang w:val="zh-CN"/>
        </w:rPr>
        <w:t>举</w:t>
      </w:r>
      <w:r>
        <w:rPr>
          <w:rFonts w:hint="eastAsia" w:ascii="宋体" w:hAnsi="宋体"/>
          <w:color w:val="000000"/>
          <w:sz w:val="24"/>
          <w:szCs w:val="24"/>
        </w:rPr>
        <w:t>行的</w:t>
      </w:r>
      <w:r>
        <w:rPr>
          <w:rFonts w:hint="eastAsia" w:ascii="宋体" w:hAnsi="宋体" w:eastAsia="宋体"/>
          <w:sz w:val="24"/>
          <w:szCs w:val="24"/>
          <w:lang w:val="en-US" w:eastAsia="zh-CN"/>
        </w:rPr>
        <w:t>青田县东堡山华侨文化旅游项目二期地块边坡工程开挖</w:t>
      </w:r>
      <w:r>
        <w:rPr>
          <w:rFonts w:hint="eastAsia" w:ascii="宋体" w:hAnsi="宋体"/>
          <w:sz w:val="24"/>
          <w:szCs w:val="24"/>
          <w:lang w:val="en-US" w:eastAsia="zh-CN"/>
        </w:rPr>
        <w:t>砂石料</w:t>
      </w:r>
      <w:r>
        <w:rPr>
          <w:rFonts w:hint="eastAsia" w:ascii="宋体" w:hAnsi="宋体" w:eastAsia="宋体"/>
          <w:color w:val="000000"/>
          <w:sz w:val="24"/>
          <w:szCs w:val="24"/>
          <w:lang w:val="zh-CN" w:eastAsia="zh-CN"/>
        </w:rPr>
        <w:t>拍卖</w:t>
      </w:r>
      <w:r>
        <w:rPr>
          <w:rFonts w:hint="eastAsia" w:ascii="宋体" w:hAnsi="宋体" w:eastAsia="宋体"/>
          <w:color w:val="000000"/>
          <w:sz w:val="24"/>
          <w:szCs w:val="24"/>
          <w:lang w:val="zh-CN"/>
        </w:rPr>
        <w:t>会上通过公开竞价，成交买受下列标的，依照《中华人民共和国拍卖法》及相关法律、法规的规定，签订成交确认书如下：</w:t>
      </w:r>
    </w:p>
    <w:p>
      <w:pPr>
        <w:spacing w:line="240" w:lineRule="atLeast"/>
        <w:ind w:firstLine="480" w:firstLineChars="200"/>
        <w:rPr>
          <w:rFonts w:hint="eastAsia" w:ascii="宋体" w:hAnsi="宋体"/>
          <w:sz w:val="24"/>
          <w:szCs w:val="24"/>
        </w:rPr>
      </w:pPr>
      <w:r>
        <w:rPr>
          <w:rFonts w:hint="eastAsia" w:ascii="宋体" w:hAnsi="宋体"/>
          <w:sz w:val="24"/>
          <w:szCs w:val="24"/>
        </w:rPr>
        <w:t>买受人：</w:t>
      </w:r>
      <w:r>
        <w:rPr>
          <w:rFonts w:hint="eastAsia" w:ascii="宋体" w:hAnsi="宋体"/>
          <w:sz w:val="24"/>
          <w:szCs w:val="24"/>
          <w:u w:val="single"/>
        </w:rPr>
        <w:t xml:space="preserve">                                              </w:t>
      </w:r>
      <w:r>
        <w:rPr>
          <w:rFonts w:hint="eastAsia" w:ascii="宋体" w:hAnsi="宋体"/>
          <w:sz w:val="24"/>
          <w:szCs w:val="24"/>
        </w:rPr>
        <w:t>成交牌号：</w:t>
      </w:r>
      <w:r>
        <w:rPr>
          <w:rFonts w:hint="eastAsia" w:ascii="宋体" w:hAnsi="宋体"/>
          <w:sz w:val="24"/>
          <w:szCs w:val="24"/>
          <w:u w:val="single"/>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041"/>
        <w:gridCol w:w="5669"/>
        <w:gridCol w:w="1101"/>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87" w:type="dxa"/>
            <w:gridSpan w:val="3"/>
            <w:noWrap w:val="0"/>
            <w:vAlign w:val="center"/>
          </w:tcPr>
          <w:p>
            <w:pPr>
              <w:spacing w:line="240" w:lineRule="atLeast"/>
              <w:ind w:firstLine="480" w:firstLineChars="200"/>
              <w:jc w:val="center"/>
              <w:rPr>
                <w:rFonts w:hint="eastAsia" w:ascii="宋体" w:hAnsi="宋体"/>
                <w:sz w:val="24"/>
                <w:szCs w:val="24"/>
              </w:rPr>
            </w:pPr>
            <w:r>
              <w:rPr>
                <w:rFonts w:hint="eastAsia" w:ascii="宋体" w:hAnsi="宋体"/>
                <w:sz w:val="24"/>
                <w:szCs w:val="24"/>
              </w:rPr>
              <w:t>标的</w:t>
            </w:r>
          </w:p>
        </w:tc>
        <w:tc>
          <w:tcPr>
            <w:tcW w:w="1101" w:type="dxa"/>
            <w:noWrap w:val="0"/>
            <w:vAlign w:val="center"/>
          </w:tcPr>
          <w:p>
            <w:pPr>
              <w:widowControl/>
              <w:spacing w:line="240" w:lineRule="atLeast"/>
              <w:jc w:val="center"/>
              <w:textAlignment w:val="baseline"/>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重量</w:t>
            </w:r>
          </w:p>
          <w:p>
            <w:pPr>
              <w:widowControl/>
              <w:spacing w:line="240" w:lineRule="atLeast"/>
              <w:jc w:val="both"/>
              <w:textAlignment w:val="baseline"/>
              <w:rPr>
                <w:rFonts w:hint="eastAsia" w:ascii="宋体" w:hAnsi="宋体"/>
                <w:sz w:val="24"/>
                <w:szCs w:val="24"/>
              </w:rPr>
            </w:pPr>
            <w:r>
              <w:rPr>
                <w:rFonts w:hint="eastAsia" w:ascii="宋体" w:hAnsi="宋体" w:eastAsia="宋体"/>
                <w:color w:val="000000"/>
                <w:sz w:val="24"/>
                <w:szCs w:val="24"/>
                <w:lang w:val="en-US" w:eastAsia="zh-CN"/>
              </w:rPr>
              <w:t>（万吨）</w:t>
            </w:r>
          </w:p>
        </w:tc>
        <w:tc>
          <w:tcPr>
            <w:tcW w:w="1071" w:type="dxa"/>
            <w:noWrap w:val="0"/>
            <w:vAlign w:val="center"/>
          </w:tcPr>
          <w:p>
            <w:pPr>
              <w:spacing w:line="240" w:lineRule="atLeast"/>
              <w:rPr>
                <w:rFonts w:hint="eastAsia" w:ascii="宋体" w:hAnsi="宋体"/>
                <w:sz w:val="24"/>
                <w:szCs w:val="24"/>
              </w:rPr>
            </w:pPr>
            <w:r>
              <w:rPr>
                <w:rFonts w:hint="eastAsia" w:ascii="宋体" w:hAnsi="宋体"/>
                <w:sz w:val="24"/>
                <w:szCs w:val="24"/>
              </w:rPr>
              <w:t>成交价</w:t>
            </w:r>
          </w:p>
          <w:p>
            <w:pPr>
              <w:spacing w:line="240" w:lineRule="atLeast"/>
              <w:rPr>
                <w:rFonts w:hint="eastAsia" w:ascii="宋体" w:hAnsi="宋体" w:eastAsia="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万元</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7" w:type="dxa"/>
            <w:noWrap w:val="0"/>
            <w:vAlign w:val="center"/>
          </w:tcPr>
          <w:p>
            <w:pPr>
              <w:widowControl/>
              <w:spacing w:line="240" w:lineRule="atLeast"/>
              <w:jc w:val="center"/>
              <w:textAlignment w:val="baseline"/>
              <w:rPr>
                <w:rFonts w:hint="eastAsia" w:ascii="宋体" w:hAnsi="宋体"/>
                <w:sz w:val="24"/>
                <w:szCs w:val="24"/>
              </w:rPr>
            </w:pPr>
            <w:r>
              <w:rPr>
                <w:rFonts w:hint="eastAsia" w:ascii="宋体" w:hAnsi="宋体"/>
                <w:sz w:val="24"/>
                <w:szCs w:val="24"/>
              </w:rPr>
              <w:t>1</w:t>
            </w:r>
          </w:p>
        </w:tc>
        <w:tc>
          <w:tcPr>
            <w:tcW w:w="6710" w:type="dxa"/>
            <w:gridSpan w:val="2"/>
            <w:noWrap w:val="0"/>
            <w:vAlign w:val="center"/>
          </w:tcPr>
          <w:p>
            <w:pPr>
              <w:widowControl/>
              <w:spacing w:line="240" w:lineRule="atLeast"/>
              <w:jc w:val="both"/>
              <w:textAlignment w:val="baseline"/>
              <w:rPr>
                <w:rFonts w:hint="default" w:ascii="宋体" w:hAnsi="宋体" w:eastAsia="宋体"/>
                <w:sz w:val="24"/>
                <w:szCs w:val="24"/>
                <w:lang w:val="en-US" w:eastAsia="zh-CN"/>
              </w:rPr>
            </w:pPr>
            <w:r>
              <w:rPr>
                <w:rFonts w:hint="eastAsia" w:ascii="宋体" w:hAnsi="宋体" w:eastAsia="宋体"/>
                <w:sz w:val="24"/>
                <w:szCs w:val="24"/>
                <w:lang w:val="en-US" w:eastAsia="zh-CN"/>
              </w:rPr>
              <w:t>青田县东堡山华侨文化旅游项目二期地块边坡工程开挖砂石料</w:t>
            </w:r>
          </w:p>
        </w:tc>
        <w:tc>
          <w:tcPr>
            <w:tcW w:w="1101" w:type="dxa"/>
            <w:noWrap w:val="0"/>
            <w:vAlign w:val="center"/>
          </w:tcPr>
          <w:p>
            <w:pPr>
              <w:widowControl/>
              <w:spacing w:line="240" w:lineRule="atLeast"/>
              <w:jc w:val="center"/>
              <w:textAlignment w:val="baseline"/>
              <w:rPr>
                <w:rFonts w:hint="default" w:ascii="宋体" w:hAnsi="宋体"/>
                <w:sz w:val="24"/>
                <w:szCs w:val="24"/>
                <w:lang w:val="en-US"/>
              </w:rPr>
            </w:pPr>
            <w:r>
              <w:rPr>
                <w:rFonts w:hint="eastAsia" w:ascii="宋体" w:hAnsi="宋体"/>
                <w:color w:val="000000"/>
                <w:sz w:val="24"/>
                <w:szCs w:val="24"/>
                <w:lang w:val="en-US" w:eastAsia="zh-CN"/>
              </w:rPr>
              <w:t>10.84</w:t>
            </w:r>
          </w:p>
        </w:tc>
        <w:tc>
          <w:tcPr>
            <w:tcW w:w="1071" w:type="dxa"/>
            <w:noWrap w:val="0"/>
            <w:vAlign w:val="center"/>
          </w:tcPr>
          <w:p>
            <w:pPr>
              <w:widowControl/>
              <w:spacing w:line="240" w:lineRule="atLeast"/>
              <w:ind w:firstLine="480" w:firstLineChars="200"/>
              <w:textAlignment w:val="baseline"/>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18" w:type="dxa"/>
            <w:gridSpan w:val="2"/>
            <w:noWrap w:val="0"/>
            <w:vAlign w:val="center"/>
          </w:tcPr>
          <w:p>
            <w:pPr>
              <w:widowControl/>
              <w:spacing w:line="240" w:lineRule="atLeast"/>
              <w:jc w:val="center"/>
              <w:textAlignment w:val="baseline"/>
              <w:rPr>
                <w:rFonts w:hint="eastAsia" w:ascii="宋体" w:hAnsi="宋体"/>
                <w:sz w:val="24"/>
                <w:szCs w:val="24"/>
              </w:rPr>
            </w:pPr>
            <w:r>
              <w:rPr>
                <w:rFonts w:hint="eastAsia" w:ascii="宋体" w:hAnsi="宋体"/>
                <w:sz w:val="24"/>
                <w:szCs w:val="24"/>
              </w:rPr>
              <w:t>成交价大写</w:t>
            </w:r>
          </w:p>
        </w:tc>
        <w:tc>
          <w:tcPr>
            <w:tcW w:w="7841" w:type="dxa"/>
            <w:gridSpan w:val="3"/>
            <w:noWrap w:val="0"/>
            <w:vAlign w:val="center"/>
          </w:tcPr>
          <w:p>
            <w:pPr>
              <w:widowControl/>
              <w:spacing w:line="240" w:lineRule="atLeast"/>
              <w:ind w:firstLine="480" w:firstLineChars="200"/>
              <w:textAlignment w:val="baseline"/>
              <w:rPr>
                <w:rFonts w:hint="eastAsia" w:ascii="宋体" w:hAnsi="宋体"/>
                <w:sz w:val="24"/>
                <w:szCs w:val="24"/>
              </w:rPr>
            </w:pPr>
          </w:p>
        </w:tc>
      </w:tr>
    </w:tbl>
    <w:p>
      <w:pPr>
        <w:widowControl/>
        <w:spacing w:line="240" w:lineRule="atLeast"/>
        <w:ind w:firstLine="480" w:firstLineChars="200"/>
        <w:jc w:val="left"/>
        <w:textAlignment w:val="baseline"/>
        <w:rPr>
          <w:rFonts w:hint="eastAsia" w:ascii="宋体" w:hAnsi="宋体"/>
          <w:color w:val="auto"/>
          <w:sz w:val="24"/>
          <w:szCs w:val="24"/>
        </w:rPr>
      </w:pPr>
      <w:r>
        <w:rPr>
          <w:rFonts w:hint="eastAsia" w:ascii="宋体" w:hAnsi="宋体"/>
          <w:sz w:val="24"/>
          <w:szCs w:val="24"/>
        </w:rPr>
        <w:t>★约定事项★</w:t>
      </w:r>
    </w:p>
    <w:p>
      <w:pPr>
        <w:widowControl/>
        <w:spacing w:line="240" w:lineRule="atLeast"/>
        <w:ind w:firstLine="480" w:firstLineChars="200"/>
        <w:jc w:val="left"/>
        <w:textAlignment w:val="baseline"/>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auto"/>
          <w:sz w:val="24"/>
          <w:szCs w:val="24"/>
        </w:rPr>
        <w:t>①拍卖成交后，买受人必须</w:t>
      </w:r>
      <w:r>
        <w:rPr>
          <w:rFonts w:hint="eastAsia" w:ascii="宋体" w:hAnsi="宋体"/>
          <w:color w:val="auto"/>
          <w:sz w:val="24"/>
          <w:szCs w:val="24"/>
          <w:lang w:val="en-US" w:eastAsia="zh-CN"/>
        </w:rPr>
        <w:t>于2023年4月14日</w:t>
      </w:r>
      <w:r>
        <w:rPr>
          <w:rFonts w:hint="eastAsia" w:ascii="宋体" w:hAnsi="宋体"/>
          <w:color w:val="000000"/>
          <w:sz w:val="24"/>
          <w:szCs w:val="24"/>
          <w:lang w:val="en-US" w:eastAsia="zh-CN"/>
        </w:rPr>
        <w:t>下午16：00前</w:t>
      </w:r>
      <w:r>
        <w:rPr>
          <w:rFonts w:hint="eastAsia" w:ascii="宋体" w:hAnsi="宋体"/>
          <w:color w:val="000000"/>
          <w:sz w:val="24"/>
          <w:szCs w:val="24"/>
        </w:rPr>
        <w:t xml:space="preserve">与委托人签署《 </w:t>
      </w:r>
      <w:r>
        <w:rPr>
          <w:rFonts w:hint="eastAsia" w:ascii="宋体" w:hAnsi="宋体"/>
          <w:color w:val="000000"/>
          <w:sz w:val="24"/>
          <w:szCs w:val="24"/>
          <w:lang w:eastAsia="zh-CN"/>
        </w:rPr>
        <w:t>砂石料</w:t>
      </w:r>
      <w:r>
        <w:rPr>
          <w:rFonts w:hint="eastAsia" w:ascii="宋体" w:hAnsi="宋体"/>
          <w:color w:val="000000" w:themeColor="text1"/>
          <w:sz w:val="24"/>
          <w:szCs w:val="24"/>
          <w14:textFill>
            <w14:solidFill>
              <w14:schemeClr w14:val="tx1"/>
            </w14:solidFill>
          </w14:textFill>
        </w:rPr>
        <w:t>出让合同书》并付清履约保证金</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万元</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履约保证金按累进制计算（</w:t>
      </w:r>
      <w:r>
        <w:rPr>
          <w:rFonts w:hint="eastAsia" w:ascii="宋体" w:hAnsi="宋体"/>
          <w:color w:val="000000" w:themeColor="text1"/>
          <w:sz w:val="24"/>
          <w:szCs w:val="24"/>
          <w:u w:val="single"/>
          <w14:textFill>
            <w14:solidFill>
              <w14:schemeClr w14:val="tx1"/>
            </w14:solidFill>
          </w14:textFill>
        </w:rPr>
        <w:t>各标的成交价的</w:t>
      </w:r>
      <w:r>
        <w:rPr>
          <w:rFonts w:hint="eastAsia" w:ascii="宋体" w:hAnsi="宋体"/>
          <w:color w:val="000000" w:themeColor="text1"/>
          <w:sz w:val="24"/>
          <w:szCs w:val="24"/>
          <w:u w:val="single"/>
          <w:lang w:val="en-US" w:eastAsia="zh-CN"/>
          <w14:textFill>
            <w14:solidFill>
              <w14:schemeClr w14:val="tx1"/>
            </w14:solidFill>
          </w14:textFill>
        </w:rPr>
        <w:t>0-1亿元部分，按20%</w:t>
      </w:r>
      <w:r>
        <w:rPr>
          <w:rFonts w:hint="eastAsia" w:ascii="宋体" w:hAnsi="宋体"/>
          <w:color w:val="000000" w:themeColor="text1"/>
          <w:sz w:val="24"/>
          <w:szCs w:val="24"/>
          <w:u w:val="single"/>
          <w14:textFill>
            <w14:solidFill>
              <w14:schemeClr w14:val="tx1"/>
            </w14:solidFill>
          </w14:textFill>
        </w:rPr>
        <w:t>缴纳</w:t>
      </w:r>
      <w:r>
        <w:rPr>
          <w:rFonts w:hint="eastAsia" w:ascii="宋体" w:hAnsi="宋体"/>
          <w:color w:val="000000" w:themeColor="text1"/>
          <w:sz w:val="24"/>
          <w:szCs w:val="24"/>
          <w:u w:val="single"/>
          <w:lang w:val="en-US" w:eastAsia="zh-CN"/>
          <w14:textFill>
            <w14:solidFill>
              <w14:schemeClr w14:val="tx1"/>
            </w14:solidFill>
          </w14:textFill>
        </w:rPr>
        <w:t>；1-5亿元部分，按10%</w:t>
      </w:r>
      <w:r>
        <w:rPr>
          <w:rFonts w:hint="eastAsia" w:ascii="宋体" w:hAnsi="宋体"/>
          <w:color w:val="000000" w:themeColor="text1"/>
          <w:sz w:val="24"/>
          <w:szCs w:val="24"/>
          <w:u w:val="single"/>
          <w14:textFill>
            <w14:solidFill>
              <w14:schemeClr w14:val="tx1"/>
            </w14:solidFill>
          </w14:textFill>
        </w:rPr>
        <w:t>缴纳</w:t>
      </w:r>
      <w:r>
        <w:rPr>
          <w:rFonts w:hint="eastAsia" w:ascii="宋体" w:hAnsi="宋体"/>
          <w:color w:val="000000" w:themeColor="text1"/>
          <w:sz w:val="24"/>
          <w:szCs w:val="24"/>
          <w:u w:val="single"/>
          <w:lang w:val="en-US" w:eastAsia="zh-CN"/>
          <w14:textFill>
            <w14:solidFill>
              <w14:schemeClr w14:val="tx1"/>
            </w14:solidFill>
          </w14:textFill>
        </w:rPr>
        <w:t>；5亿元以上部分，按5%</w:t>
      </w:r>
      <w:r>
        <w:rPr>
          <w:rFonts w:hint="eastAsia" w:ascii="宋体" w:hAnsi="宋体"/>
          <w:color w:val="000000" w:themeColor="text1"/>
          <w:sz w:val="24"/>
          <w:szCs w:val="24"/>
          <w:u w:val="single"/>
          <w14:textFill>
            <w14:solidFill>
              <w14:schemeClr w14:val="tx1"/>
            </w14:solidFill>
          </w14:textFill>
        </w:rPr>
        <w:t>缴纳</w:t>
      </w:r>
      <w:r>
        <w:rPr>
          <w:rFonts w:hint="eastAsia" w:ascii="宋体" w:hAnsi="宋体"/>
          <w:color w:val="000000" w:themeColor="text1"/>
          <w:sz w:val="24"/>
          <w:szCs w:val="24"/>
          <w:u w:val="none"/>
          <w14:textFill>
            <w14:solidFill>
              <w14:schemeClr w14:val="tx1"/>
            </w14:solidFill>
          </w14:textFill>
        </w:rPr>
        <w:t>）</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在签订合同日</w:t>
      </w:r>
      <w:r>
        <w:rPr>
          <w:rFonts w:hint="eastAsia" w:ascii="宋体" w:hAnsi="宋体"/>
          <w:color w:val="000000" w:themeColor="text1"/>
          <w:sz w:val="24"/>
          <w:szCs w:val="24"/>
          <w:lang w:val="en-US" w:eastAsia="zh-CN"/>
          <w14:textFill>
            <w14:solidFill>
              <w14:schemeClr w14:val="tx1"/>
            </w14:solidFill>
          </w14:textFill>
        </w:rPr>
        <w:t>前</w:t>
      </w:r>
      <w:r>
        <w:rPr>
          <w:rFonts w:hint="eastAsia" w:ascii="宋体" w:hAnsi="宋体"/>
          <w:color w:val="000000" w:themeColor="text1"/>
          <w:sz w:val="24"/>
          <w:szCs w:val="24"/>
          <w14:textFill>
            <w14:solidFill>
              <w14:schemeClr w14:val="tx1"/>
            </w14:solidFill>
          </w14:textFill>
        </w:rPr>
        <w:t>付清成交款</w:t>
      </w:r>
      <w:r>
        <w:rPr>
          <w:rFonts w:hint="eastAsia" w:ascii="宋体" w:hAnsi="宋体"/>
          <w:color w:val="000000" w:themeColor="text1"/>
          <w:sz w:val="24"/>
          <w:szCs w:val="24"/>
          <w:lang w:eastAsia="zh-CN"/>
          <w14:textFill>
            <w14:solidFill>
              <w14:schemeClr w14:val="tx1"/>
            </w14:solidFill>
          </w14:textFill>
        </w:rPr>
        <w:t>。</w:t>
      </w:r>
    </w:p>
    <w:p>
      <w:pPr>
        <w:widowControl/>
        <w:spacing w:line="240" w:lineRule="atLeast"/>
        <w:ind w:firstLine="480" w:firstLineChars="200"/>
        <w:jc w:val="left"/>
        <w:textAlignment w:val="baseline"/>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eastAsia="宋体"/>
          <w:color w:val="000000" w:themeColor="text1"/>
          <w:sz w:val="24"/>
          <w:szCs w:val="24"/>
          <w:lang w:val="en-US" w:eastAsia="zh-CN"/>
          <w14:textFill>
            <w14:solidFill>
              <w14:schemeClr w14:val="tx1"/>
            </w14:solidFill>
          </w14:textFill>
        </w:rPr>
        <w:t>付款帐号：</w:t>
      </w:r>
      <w:r>
        <w:rPr>
          <w:rFonts w:hint="eastAsia" w:ascii="宋体" w:hAnsi="宋体"/>
          <w:color w:val="000000" w:themeColor="text1"/>
          <w:sz w:val="24"/>
          <w:szCs w:val="24"/>
          <w:lang w:val="en-US" w:eastAsia="zh-CN"/>
          <w14:textFill>
            <w14:solidFill>
              <w14:schemeClr w14:val="tx1"/>
            </w14:solidFill>
          </w14:textFill>
        </w:rPr>
        <w:t>201000310773996</w:t>
      </w:r>
      <w:r>
        <w:rPr>
          <w:rFonts w:hint="eastAsia" w:ascii="宋体" w:hAnsi="宋体" w:eastAsia="宋体"/>
          <w:color w:val="000000" w:themeColor="text1"/>
          <w:sz w:val="24"/>
          <w:szCs w:val="24"/>
          <w:lang w:val="en-US" w:eastAsia="zh-CN"/>
          <w14:textFill>
            <w14:solidFill>
              <w14:schemeClr w14:val="tx1"/>
            </w14:solidFill>
          </w14:textFill>
        </w:rPr>
        <w:t>户名：青田县</w:t>
      </w:r>
      <w:r>
        <w:rPr>
          <w:rFonts w:hint="eastAsia" w:ascii="宋体" w:hAnsi="宋体"/>
          <w:color w:val="000000" w:themeColor="text1"/>
          <w:sz w:val="24"/>
          <w:szCs w:val="24"/>
          <w:lang w:val="en-US" w:eastAsia="zh-CN"/>
          <w14:textFill>
            <w14:solidFill>
              <w14:schemeClr w14:val="tx1"/>
            </w14:solidFill>
          </w14:textFill>
        </w:rPr>
        <w:t>砂石料工作中心</w:t>
      </w:r>
      <w:r>
        <w:rPr>
          <w:rFonts w:hint="eastAsia" w:ascii="宋体" w:hAnsi="宋体" w:eastAsia="宋体"/>
          <w:color w:val="000000" w:themeColor="text1"/>
          <w:sz w:val="24"/>
          <w:szCs w:val="24"/>
          <w:lang w:val="en-US" w:eastAsia="zh-CN"/>
          <w14:textFill>
            <w14:solidFill>
              <w14:schemeClr w14:val="tx1"/>
            </w14:solidFill>
          </w14:textFill>
        </w:rPr>
        <w:t xml:space="preserve"> 开户行：</w:t>
      </w:r>
      <w:r>
        <w:rPr>
          <w:rFonts w:hint="eastAsia" w:ascii="宋体" w:hAnsi="宋体"/>
          <w:color w:val="000000" w:themeColor="text1"/>
          <w:sz w:val="24"/>
          <w:szCs w:val="24"/>
          <w:lang w:val="en-US" w:eastAsia="zh-CN"/>
          <w14:textFill>
            <w14:solidFill>
              <w14:schemeClr w14:val="tx1"/>
            </w14:solidFill>
          </w14:textFill>
        </w:rPr>
        <w:t>浙江青田农村商业银行股份有限公司鹤城支行）</w:t>
      </w:r>
    </w:p>
    <w:p>
      <w:pPr>
        <w:widowControl/>
        <w:spacing w:line="240" w:lineRule="atLeast"/>
        <w:ind w:firstLine="480" w:firstLineChars="200"/>
        <w:jc w:val="left"/>
        <w:textAlignment w:val="baseline"/>
        <w:rPr>
          <w:rFonts w:hint="eastAsia" w:ascii="宋体" w:hAnsi="宋体"/>
          <w:sz w:val="24"/>
          <w:szCs w:val="24"/>
        </w:rPr>
      </w:pPr>
      <w:r>
        <w:rPr>
          <w:rFonts w:hint="eastAsia" w:ascii="宋体" w:hAnsi="宋体"/>
          <w:sz w:val="24"/>
          <w:szCs w:val="24"/>
        </w:rPr>
        <w:t>②成交标的的具体界定，标的品质、瑕疵状况，买受人付款结算的约定以及按约付款后标的交付与权属、风险转移等事项，均以本场拍卖会资料的表述与约定为准。</w:t>
      </w:r>
    </w:p>
    <w:p>
      <w:pPr>
        <w:widowControl/>
        <w:spacing w:line="240" w:lineRule="atLeast"/>
        <w:ind w:firstLine="480" w:firstLineChars="200"/>
        <w:jc w:val="left"/>
        <w:textAlignment w:val="baseline"/>
        <w:rPr>
          <w:rFonts w:hint="eastAsia" w:ascii="宋体" w:hAnsi="宋体" w:eastAsia="宋体"/>
          <w:sz w:val="24"/>
          <w:szCs w:val="24"/>
          <w:lang w:eastAsia="zh-CN"/>
        </w:rPr>
      </w:pPr>
      <w:r>
        <w:rPr>
          <w:rFonts w:hint="eastAsia" w:ascii="宋体" w:hAnsi="宋体"/>
          <w:sz w:val="24"/>
          <w:szCs w:val="24"/>
        </w:rPr>
        <w:t>③买受人未能按照约定支付款项、接收提取标的，或有其他违约、侵权行为发生的，须承担违约或侵权责任。</w:t>
      </w:r>
    </w:p>
    <w:p>
      <w:pPr>
        <w:widowControl/>
        <w:spacing w:line="240" w:lineRule="atLeast"/>
        <w:ind w:firstLine="480" w:firstLineChars="200"/>
        <w:jc w:val="left"/>
        <w:textAlignment w:val="baseline"/>
        <w:rPr>
          <w:rFonts w:hint="eastAsia" w:ascii="宋体" w:hAnsi="宋体"/>
          <w:sz w:val="24"/>
          <w:szCs w:val="24"/>
        </w:rPr>
      </w:pPr>
      <w:r>
        <w:rPr>
          <w:rFonts w:hint="eastAsia" w:ascii="宋体" w:hAnsi="宋体"/>
          <w:sz w:val="24"/>
          <w:szCs w:val="24"/>
        </w:rPr>
        <w:t>④本场拍卖会资料以及买受人在办理的竞买申请登记手续和其提供的文件、资料均为本《拍卖成交确认书》的有效组成部分，对拍卖交易双方都具有法律约束力。</w:t>
      </w:r>
    </w:p>
    <w:p>
      <w:pPr>
        <w:widowControl/>
        <w:spacing w:line="240" w:lineRule="atLeast"/>
        <w:ind w:firstLine="480" w:firstLineChars="200"/>
        <w:jc w:val="left"/>
        <w:textAlignment w:val="baseline"/>
        <w:rPr>
          <w:rFonts w:hint="eastAsia" w:ascii="宋体" w:hAnsi="宋体"/>
          <w:sz w:val="24"/>
          <w:szCs w:val="24"/>
        </w:rPr>
      </w:pPr>
      <w:r>
        <w:rPr>
          <w:rFonts w:hint="eastAsia" w:ascii="宋体" w:hAnsi="宋体"/>
          <w:sz w:val="24"/>
          <w:szCs w:val="24"/>
        </w:rPr>
        <w:t>⑤本《拍卖成交确认书》若有未尽事宜，可协商一致后另行书面补充约定，本《拍卖成交确认书》在履行中若发生争议的，双方应平等协商进行解决，或向青田县人民法院起诉。</w:t>
      </w:r>
    </w:p>
    <w:p>
      <w:pPr>
        <w:widowControl/>
        <w:spacing w:line="240" w:lineRule="atLeast"/>
        <w:ind w:firstLine="480" w:firstLineChars="200"/>
        <w:jc w:val="left"/>
        <w:textAlignment w:val="baseline"/>
        <w:rPr>
          <w:rFonts w:hint="eastAsia" w:ascii="宋体" w:hAnsi="宋体"/>
          <w:sz w:val="24"/>
          <w:szCs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2869"/>
        <w:gridCol w:w="2461"/>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8" w:type="dxa"/>
            <w:noWrap w:val="0"/>
            <w:vAlign w:val="center"/>
          </w:tcPr>
          <w:p>
            <w:pPr>
              <w:widowControl/>
              <w:spacing w:line="300" w:lineRule="exact"/>
              <w:jc w:val="center"/>
              <w:textAlignment w:val="baseline"/>
              <w:rPr>
                <w:rFonts w:hint="eastAsia" w:ascii="宋体" w:hAnsi="宋体"/>
                <w:b/>
                <w:sz w:val="24"/>
                <w:szCs w:val="24"/>
              </w:rPr>
            </w:pPr>
            <w:r>
              <w:rPr>
                <w:rFonts w:hint="eastAsia" w:ascii="宋体" w:hAnsi="宋体"/>
                <w:b/>
                <w:sz w:val="24"/>
                <w:szCs w:val="24"/>
              </w:rPr>
              <w:t>当事人类别</w:t>
            </w:r>
          </w:p>
        </w:tc>
        <w:tc>
          <w:tcPr>
            <w:tcW w:w="2869" w:type="dxa"/>
            <w:noWrap w:val="0"/>
            <w:vAlign w:val="center"/>
          </w:tcPr>
          <w:p>
            <w:pPr>
              <w:widowControl/>
              <w:spacing w:line="300" w:lineRule="exact"/>
              <w:jc w:val="center"/>
              <w:textAlignment w:val="baseline"/>
              <w:rPr>
                <w:rFonts w:hint="eastAsia" w:ascii="宋体" w:hAnsi="宋体"/>
                <w:b/>
                <w:sz w:val="24"/>
                <w:szCs w:val="24"/>
              </w:rPr>
            </w:pPr>
            <w:r>
              <w:rPr>
                <w:rFonts w:hint="eastAsia" w:ascii="宋体" w:hAnsi="宋体"/>
                <w:b/>
                <w:sz w:val="24"/>
                <w:szCs w:val="24"/>
              </w:rPr>
              <w:t>拍卖人</w:t>
            </w:r>
          </w:p>
        </w:tc>
        <w:tc>
          <w:tcPr>
            <w:tcW w:w="2461" w:type="dxa"/>
            <w:noWrap w:val="0"/>
            <w:vAlign w:val="center"/>
          </w:tcPr>
          <w:p>
            <w:pPr>
              <w:widowControl/>
              <w:spacing w:line="300" w:lineRule="exact"/>
              <w:jc w:val="center"/>
              <w:textAlignment w:val="baseline"/>
              <w:rPr>
                <w:rFonts w:hint="eastAsia" w:ascii="宋体" w:hAnsi="宋体"/>
                <w:b/>
                <w:sz w:val="24"/>
                <w:szCs w:val="24"/>
              </w:rPr>
            </w:pPr>
            <w:r>
              <w:rPr>
                <w:rFonts w:hint="eastAsia" w:ascii="宋体" w:hAnsi="宋体"/>
                <w:b/>
                <w:sz w:val="24"/>
                <w:szCs w:val="24"/>
              </w:rPr>
              <w:t>买受人</w:t>
            </w:r>
          </w:p>
        </w:tc>
        <w:tc>
          <w:tcPr>
            <w:tcW w:w="2665" w:type="dxa"/>
            <w:noWrap w:val="0"/>
            <w:vAlign w:val="center"/>
          </w:tcPr>
          <w:p>
            <w:pPr>
              <w:widowControl/>
              <w:spacing w:line="300" w:lineRule="exact"/>
              <w:jc w:val="center"/>
              <w:textAlignment w:val="baseline"/>
              <w:rPr>
                <w:rFonts w:hint="eastAsia" w:ascii="宋体" w:hAnsi="宋体"/>
                <w:b/>
                <w:sz w:val="24"/>
                <w:szCs w:val="24"/>
              </w:rPr>
            </w:pPr>
            <w:r>
              <w:rPr>
                <w:rFonts w:hint="eastAsia" w:ascii="宋体" w:hAnsi="宋体"/>
                <w:b/>
                <w:sz w:val="24"/>
                <w:szCs w:val="24"/>
              </w:rPr>
              <w:t>见证方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8" w:type="dxa"/>
            <w:noWrap w:val="0"/>
            <w:vAlign w:val="center"/>
          </w:tcPr>
          <w:p>
            <w:pPr>
              <w:widowControl/>
              <w:spacing w:line="300" w:lineRule="exact"/>
              <w:jc w:val="center"/>
              <w:textAlignment w:val="baseline"/>
              <w:rPr>
                <w:rFonts w:hint="eastAsia" w:ascii="宋体" w:hAnsi="宋体"/>
                <w:b/>
                <w:sz w:val="24"/>
                <w:szCs w:val="24"/>
              </w:rPr>
            </w:pPr>
            <w:r>
              <w:rPr>
                <w:rFonts w:hint="eastAsia" w:ascii="宋体" w:hAnsi="宋体"/>
                <w:b/>
                <w:sz w:val="24"/>
                <w:szCs w:val="24"/>
              </w:rPr>
              <w:t>当事人名称</w:t>
            </w:r>
          </w:p>
        </w:tc>
        <w:tc>
          <w:tcPr>
            <w:tcW w:w="2869" w:type="dxa"/>
            <w:noWrap w:val="0"/>
            <w:vAlign w:val="center"/>
          </w:tcPr>
          <w:p>
            <w:pPr>
              <w:widowControl/>
              <w:spacing w:line="300" w:lineRule="exact"/>
              <w:jc w:val="center"/>
              <w:textAlignment w:val="baseline"/>
              <w:rPr>
                <w:rFonts w:hint="eastAsia" w:ascii="宋体" w:hAnsi="宋体"/>
                <w:sz w:val="24"/>
                <w:szCs w:val="24"/>
              </w:rPr>
            </w:pPr>
            <w:r>
              <w:rPr>
                <w:rFonts w:hint="eastAsia" w:ascii="宋体" w:hAnsi="宋体"/>
                <w:sz w:val="24"/>
                <w:szCs w:val="24"/>
              </w:rPr>
              <w:t>丽水中侨拍卖行有限公司</w:t>
            </w:r>
          </w:p>
        </w:tc>
        <w:tc>
          <w:tcPr>
            <w:tcW w:w="2461" w:type="dxa"/>
            <w:noWrap w:val="0"/>
            <w:vAlign w:val="center"/>
          </w:tcPr>
          <w:p>
            <w:pPr>
              <w:widowControl/>
              <w:spacing w:line="300" w:lineRule="exact"/>
              <w:jc w:val="center"/>
              <w:textAlignment w:val="baseline"/>
              <w:rPr>
                <w:rFonts w:hint="eastAsia" w:ascii="宋体" w:hAnsi="宋体"/>
                <w:sz w:val="24"/>
                <w:szCs w:val="24"/>
              </w:rPr>
            </w:pPr>
          </w:p>
        </w:tc>
        <w:tc>
          <w:tcPr>
            <w:tcW w:w="2665" w:type="dxa"/>
            <w:noWrap w:val="0"/>
            <w:vAlign w:val="center"/>
          </w:tcPr>
          <w:p>
            <w:pPr>
              <w:widowControl/>
              <w:spacing w:line="300" w:lineRule="exact"/>
              <w:jc w:val="center"/>
              <w:textAlignment w:val="baseline"/>
              <w:rPr>
                <w:rFonts w:hint="eastAsia" w:ascii="宋体" w:hAnsi="宋体"/>
                <w:sz w:val="24"/>
                <w:szCs w:val="24"/>
              </w:rPr>
            </w:pPr>
            <w:r>
              <w:rPr>
                <w:rFonts w:hint="eastAsia" w:ascii="宋体" w:hAnsi="宋体"/>
                <w:sz w:val="24"/>
                <w:szCs w:val="24"/>
              </w:rPr>
              <w:t>青田县政府采购招投标交易中心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8" w:type="dxa"/>
            <w:noWrap w:val="0"/>
            <w:vAlign w:val="center"/>
          </w:tcPr>
          <w:p>
            <w:pPr>
              <w:widowControl/>
              <w:spacing w:line="300" w:lineRule="exact"/>
              <w:jc w:val="center"/>
              <w:textAlignment w:val="baseline"/>
              <w:rPr>
                <w:rFonts w:hint="eastAsia" w:ascii="宋体" w:hAnsi="宋体"/>
                <w:b/>
                <w:sz w:val="24"/>
                <w:szCs w:val="24"/>
              </w:rPr>
            </w:pPr>
            <w:r>
              <w:rPr>
                <w:rFonts w:hint="eastAsia" w:ascii="宋体" w:hAnsi="宋体"/>
                <w:b/>
                <w:sz w:val="24"/>
                <w:szCs w:val="24"/>
              </w:rPr>
              <w:t>法定代表人</w:t>
            </w:r>
          </w:p>
          <w:p>
            <w:pPr>
              <w:widowControl/>
              <w:spacing w:line="300" w:lineRule="exact"/>
              <w:jc w:val="center"/>
              <w:textAlignment w:val="baseline"/>
              <w:rPr>
                <w:rFonts w:hint="eastAsia" w:ascii="宋体" w:hAnsi="宋体"/>
                <w:b/>
                <w:spacing w:val="-20"/>
                <w:sz w:val="24"/>
                <w:szCs w:val="24"/>
              </w:rPr>
            </w:pPr>
            <w:r>
              <w:rPr>
                <w:rFonts w:hint="eastAsia" w:ascii="宋体" w:hAnsi="宋体"/>
                <w:b/>
                <w:sz w:val="24"/>
                <w:szCs w:val="24"/>
              </w:rPr>
              <w:t>(或授权代表)</w:t>
            </w:r>
          </w:p>
        </w:tc>
        <w:tc>
          <w:tcPr>
            <w:tcW w:w="2869" w:type="dxa"/>
            <w:noWrap w:val="0"/>
            <w:vAlign w:val="center"/>
          </w:tcPr>
          <w:p>
            <w:pPr>
              <w:widowControl/>
              <w:spacing w:line="300" w:lineRule="exact"/>
              <w:jc w:val="center"/>
              <w:textAlignment w:val="baseline"/>
              <w:rPr>
                <w:rFonts w:hint="eastAsia" w:ascii="宋体" w:hAnsi="宋体"/>
                <w:sz w:val="24"/>
                <w:szCs w:val="24"/>
              </w:rPr>
            </w:pPr>
          </w:p>
        </w:tc>
        <w:tc>
          <w:tcPr>
            <w:tcW w:w="2461" w:type="dxa"/>
            <w:noWrap w:val="0"/>
            <w:vAlign w:val="center"/>
          </w:tcPr>
          <w:p>
            <w:pPr>
              <w:widowControl/>
              <w:spacing w:line="300" w:lineRule="exact"/>
              <w:jc w:val="center"/>
              <w:textAlignment w:val="baseline"/>
              <w:rPr>
                <w:rFonts w:hint="eastAsia" w:ascii="宋体" w:hAnsi="宋体"/>
                <w:sz w:val="24"/>
                <w:szCs w:val="24"/>
              </w:rPr>
            </w:pPr>
          </w:p>
        </w:tc>
        <w:tc>
          <w:tcPr>
            <w:tcW w:w="2665" w:type="dxa"/>
            <w:noWrap w:val="0"/>
            <w:vAlign w:val="center"/>
          </w:tcPr>
          <w:p>
            <w:pPr>
              <w:widowControl/>
              <w:spacing w:line="300" w:lineRule="exact"/>
              <w:jc w:val="center"/>
              <w:textAlignment w:val="baseline"/>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8" w:type="dxa"/>
            <w:noWrap w:val="0"/>
            <w:vAlign w:val="center"/>
          </w:tcPr>
          <w:p>
            <w:pPr>
              <w:widowControl/>
              <w:spacing w:line="300" w:lineRule="exact"/>
              <w:jc w:val="center"/>
              <w:textAlignment w:val="baseline"/>
              <w:rPr>
                <w:rFonts w:hint="eastAsia" w:ascii="宋体" w:hAnsi="宋体"/>
                <w:b/>
                <w:sz w:val="24"/>
                <w:szCs w:val="24"/>
              </w:rPr>
            </w:pPr>
            <w:r>
              <w:rPr>
                <w:rFonts w:hint="eastAsia" w:ascii="宋体" w:hAnsi="宋体"/>
                <w:b/>
                <w:sz w:val="24"/>
                <w:szCs w:val="24"/>
              </w:rPr>
              <w:t>联系地址</w:t>
            </w:r>
          </w:p>
        </w:tc>
        <w:tc>
          <w:tcPr>
            <w:tcW w:w="2869" w:type="dxa"/>
            <w:noWrap w:val="0"/>
            <w:vAlign w:val="center"/>
          </w:tcPr>
          <w:p>
            <w:pPr>
              <w:widowControl/>
              <w:spacing w:line="300" w:lineRule="exact"/>
              <w:jc w:val="center"/>
              <w:textAlignment w:val="baseline"/>
              <w:rPr>
                <w:rFonts w:hint="eastAsia" w:ascii="宋体" w:hAnsi="宋体"/>
                <w:sz w:val="24"/>
                <w:szCs w:val="24"/>
              </w:rPr>
            </w:pPr>
            <w:r>
              <w:rPr>
                <w:rFonts w:hint="eastAsia" w:ascii="宋体" w:hAnsi="宋体"/>
                <w:sz w:val="24"/>
                <w:szCs w:val="24"/>
              </w:rPr>
              <w:t>青田县瓯南街道石郭工业区11幢3楼</w:t>
            </w:r>
          </w:p>
        </w:tc>
        <w:tc>
          <w:tcPr>
            <w:tcW w:w="2461" w:type="dxa"/>
            <w:noWrap w:val="0"/>
            <w:vAlign w:val="center"/>
          </w:tcPr>
          <w:p>
            <w:pPr>
              <w:widowControl/>
              <w:spacing w:line="300" w:lineRule="exact"/>
              <w:jc w:val="center"/>
              <w:textAlignment w:val="baseline"/>
              <w:rPr>
                <w:rFonts w:hint="eastAsia" w:ascii="宋体" w:hAnsi="宋体"/>
                <w:sz w:val="24"/>
                <w:szCs w:val="24"/>
              </w:rPr>
            </w:pPr>
          </w:p>
        </w:tc>
        <w:tc>
          <w:tcPr>
            <w:tcW w:w="2665" w:type="dxa"/>
            <w:noWrap w:val="0"/>
            <w:vAlign w:val="center"/>
          </w:tcPr>
          <w:p>
            <w:pPr>
              <w:widowControl/>
              <w:spacing w:line="300" w:lineRule="exact"/>
              <w:jc w:val="center"/>
              <w:textAlignment w:val="baseline"/>
              <w:rPr>
                <w:rFonts w:hint="eastAsia" w:ascii="宋体" w:hAnsi="宋体"/>
                <w:sz w:val="24"/>
                <w:szCs w:val="24"/>
              </w:rPr>
            </w:pPr>
            <w:r>
              <w:rPr>
                <w:rFonts w:hint="eastAsia" w:ascii="宋体" w:hAnsi="宋体" w:eastAsia="宋体"/>
                <w:sz w:val="24"/>
                <w:szCs w:val="24"/>
              </w:rPr>
              <w:t>青田县瓯南街道华侨总部经济大楼12楼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8" w:type="dxa"/>
            <w:noWrap w:val="0"/>
            <w:vAlign w:val="center"/>
          </w:tcPr>
          <w:p>
            <w:pPr>
              <w:widowControl/>
              <w:spacing w:line="300" w:lineRule="exact"/>
              <w:jc w:val="center"/>
              <w:textAlignment w:val="baseline"/>
              <w:rPr>
                <w:rFonts w:hint="eastAsia" w:ascii="宋体" w:hAnsi="宋体"/>
                <w:b/>
                <w:sz w:val="24"/>
                <w:szCs w:val="24"/>
              </w:rPr>
            </w:pPr>
            <w:r>
              <w:rPr>
                <w:rFonts w:hint="eastAsia" w:ascii="宋体" w:hAnsi="宋体"/>
                <w:b/>
                <w:sz w:val="24"/>
                <w:szCs w:val="24"/>
              </w:rPr>
              <w:t>联系电话</w:t>
            </w:r>
          </w:p>
        </w:tc>
        <w:tc>
          <w:tcPr>
            <w:tcW w:w="2869" w:type="dxa"/>
            <w:noWrap w:val="0"/>
            <w:vAlign w:val="center"/>
          </w:tcPr>
          <w:p>
            <w:pPr>
              <w:widowControl/>
              <w:spacing w:line="300" w:lineRule="exact"/>
              <w:jc w:val="center"/>
              <w:textAlignment w:val="baseline"/>
              <w:rPr>
                <w:rFonts w:hint="eastAsia" w:ascii="宋体" w:hAnsi="宋体"/>
                <w:sz w:val="24"/>
                <w:szCs w:val="24"/>
              </w:rPr>
            </w:pPr>
            <w:r>
              <w:rPr>
                <w:rFonts w:hint="eastAsia" w:ascii="宋体" w:hAnsi="宋体"/>
                <w:sz w:val="24"/>
                <w:szCs w:val="24"/>
              </w:rPr>
              <w:t xml:space="preserve"> 15057878977</w:t>
            </w:r>
          </w:p>
        </w:tc>
        <w:tc>
          <w:tcPr>
            <w:tcW w:w="2461" w:type="dxa"/>
            <w:noWrap w:val="0"/>
            <w:vAlign w:val="center"/>
          </w:tcPr>
          <w:p>
            <w:pPr>
              <w:widowControl/>
              <w:spacing w:line="300" w:lineRule="exact"/>
              <w:jc w:val="center"/>
              <w:textAlignment w:val="baseline"/>
              <w:rPr>
                <w:rFonts w:hint="eastAsia" w:ascii="宋体" w:hAnsi="宋体"/>
                <w:sz w:val="24"/>
                <w:szCs w:val="24"/>
              </w:rPr>
            </w:pPr>
          </w:p>
        </w:tc>
        <w:tc>
          <w:tcPr>
            <w:tcW w:w="2665" w:type="dxa"/>
            <w:noWrap w:val="0"/>
            <w:vAlign w:val="center"/>
          </w:tcPr>
          <w:p>
            <w:pPr>
              <w:widowControl/>
              <w:spacing w:line="300" w:lineRule="exact"/>
              <w:jc w:val="center"/>
              <w:textAlignment w:val="baseline"/>
              <w:rPr>
                <w:rFonts w:ascii="宋体" w:hAnsi="宋体"/>
                <w:sz w:val="24"/>
                <w:szCs w:val="24"/>
              </w:rPr>
            </w:pPr>
            <w:r>
              <w:rPr>
                <w:rFonts w:hint="eastAsia" w:ascii="宋体" w:hAnsi="宋体"/>
                <w:sz w:val="24"/>
                <w:szCs w:val="24"/>
              </w:rPr>
              <w:t>0578-6818395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8" w:type="dxa"/>
            <w:noWrap w:val="0"/>
            <w:vAlign w:val="center"/>
          </w:tcPr>
          <w:p>
            <w:pPr>
              <w:widowControl/>
              <w:spacing w:line="300" w:lineRule="exact"/>
              <w:jc w:val="center"/>
              <w:textAlignment w:val="baseline"/>
              <w:rPr>
                <w:rFonts w:hint="eastAsia" w:ascii="宋体" w:hAnsi="宋体"/>
                <w:b/>
                <w:sz w:val="24"/>
                <w:szCs w:val="24"/>
              </w:rPr>
            </w:pPr>
            <w:r>
              <w:rPr>
                <w:rFonts w:hint="eastAsia" w:ascii="宋体" w:hAnsi="宋体"/>
                <w:b/>
                <w:sz w:val="24"/>
                <w:szCs w:val="24"/>
              </w:rPr>
              <w:t>签署地点</w:t>
            </w:r>
          </w:p>
        </w:tc>
        <w:tc>
          <w:tcPr>
            <w:tcW w:w="7995" w:type="dxa"/>
            <w:gridSpan w:val="3"/>
            <w:noWrap w:val="0"/>
            <w:vAlign w:val="center"/>
          </w:tcPr>
          <w:p>
            <w:pPr>
              <w:widowControl/>
              <w:spacing w:line="300" w:lineRule="exact"/>
              <w:jc w:val="center"/>
              <w:textAlignment w:val="baseline"/>
              <w:rPr>
                <w:rFonts w:hint="eastAsia" w:ascii="宋体" w:hAnsi="宋体" w:eastAsia="宋体"/>
                <w:sz w:val="24"/>
                <w:szCs w:val="24"/>
                <w:lang w:eastAsia="zh-CN"/>
              </w:rPr>
            </w:pPr>
            <w:r>
              <w:rPr>
                <w:rFonts w:hint="eastAsia" w:ascii="宋体" w:hAnsi="宋体"/>
                <w:sz w:val="24"/>
                <w:szCs w:val="24"/>
                <w:lang w:eastAsia="zh-CN"/>
              </w:rPr>
              <w:t>青田县瓯南街道百悦城5幢（华侨总部经济大楼）12楼1206招投标中心开标室（二）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8" w:type="dxa"/>
            <w:noWrap w:val="0"/>
            <w:vAlign w:val="center"/>
          </w:tcPr>
          <w:p>
            <w:pPr>
              <w:widowControl/>
              <w:spacing w:line="300" w:lineRule="exact"/>
              <w:jc w:val="center"/>
              <w:textAlignment w:val="baseline"/>
              <w:rPr>
                <w:rFonts w:hint="eastAsia" w:ascii="宋体" w:hAnsi="宋体"/>
                <w:sz w:val="24"/>
                <w:szCs w:val="24"/>
              </w:rPr>
            </w:pPr>
            <w:r>
              <w:rPr>
                <w:rFonts w:hint="eastAsia" w:ascii="宋体" w:hAnsi="宋体"/>
                <w:b/>
                <w:sz w:val="24"/>
                <w:szCs w:val="24"/>
              </w:rPr>
              <w:t>签署时间</w:t>
            </w:r>
          </w:p>
        </w:tc>
        <w:tc>
          <w:tcPr>
            <w:tcW w:w="7995" w:type="dxa"/>
            <w:gridSpan w:val="3"/>
            <w:noWrap w:val="0"/>
            <w:vAlign w:val="center"/>
          </w:tcPr>
          <w:p>
            <w:pPr>
              <w:widowControl/>
              <w:spacing w:line="300" w:lineRule="exact"/>
              <w:jc w:val="center"/>
              <w:textAlignment w:val="baseline"/>
              <w:rPr>
                <w:rFonts w:hint="eastAsia" w:ascii="宋体" w:hAnsi="宋体"/>
                <w:sz w:val="24"/>
                <w:szCs w:val="24"/>
              </w:rPr>
            </w:pPr>
            <w:r>
              <w:rPr>
                <w:rFonts w:hint="eastAsia" w:ascii="宋体" w:hAnsi="宋体"/>
                <w:color w:val="auto"/>
                <w:sz w:val="24"/>
                <w:szCs w:val="24"/>
              </w:rPr>
              <w:t>202</w:t>
            </w:r>
            <w:r>
              <w:rPr>
                <w:rFonts w:hint="eastAsia" w:ascii="宋体" w:hAnsi="宋体"/>
                <w:color w:val="auto"/>
                <w:sz w:val="24"/>
                <w:szCs w:val="24"/>
                <w:lang w:val="en-US" w:eastAsia="zh-CN"/>
              </w:rPr>
              <w:t>3</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7</w:t>
            </w:r>
            <w:r>
              <w:rPr>
                <w:rFonts w:hint="eastAsia" w:ascii="宋体" w:hAnsi="宋体"/>
                <w:color w:val="auto"/>
                <w:sz w:val="24"/>
                <w:szCs w:val="24"/>
              </w:rPr>
              <w:t>日</w:t>
            </w:r>
          </w:p>
        </w:tc>
      </w:tr>
    </w:tbl>
    <w:p>
      <w:pPr>
        <w:spacing w:line="240" w:lineRule="atLeast"/>
        <w:ind w:firstLine="420" w:firstLineChars="200"/>
        <w:rPr>
          <w:rFonts w:hint="eastAsia"/>
        </w:rPr>
        <w:sectPr>
          <w:endnotePr>
            <w:numFmt w:val="decimal"/>
          </w:endnotePr>
          <w:pgSz w:w="11906" w:h="16838"/>
          <w:pgMar w:top="1134" w:right="1134" w:bottom="907" w:left="1134" w:header="567" w:footer="567" w:gutter="0"/>
          <w:pgNumType w:fmt="decimal"/>
          <w:cols w:space="720" w:num="1"/>
          <w:docGrid w:linePitch="312" w:charSpace="0"/>
        </w:sectPr>
      </w:pPr>
    </w:p>
    <w:p>
      <w:pPr>
        <w:pStyle w:val="2"/>
        <w:spacing w:before="120" w:beforeLines="50" w:after="120" w:afterLines="50" w:line="400" w:lineRule="exact"/>
        <w:jc w:val="center"/>
        <w:rPr>
          <w:rFonts w:hint="eastAsia" w:ascii="宋体" w:hAnsi="宋体"/>
          <w:sz w:val="36"/>
          <w:szCs w:val="36"/>
        </w:rPr>
      </w:pPr>
      <w:bookmarkStart w:id="9" w:name="_Toc437936731"/>
      <w:bookmarkStart w:id="10" w:name="_Toc476475368"/>
      <w:r>
        <w:rPr>
          <w:rFonts w:hint="eastAsia" w:ascii="宋体" w:hAnsi="宋体"/>
          <w:sz w:val="36"/>
          <w:szCs w:val="36"/>
        </w:rPr>
        <w:t>第</w:t>
      </w:r>
      <w:r>
        <w:rPr>
          <w:rFonts w:hint="eastAsia" w:ascii="宋体" w:hAnsi="宋体"/>
          <w:sz w:val="36"/>
          <w:szCs w:val="36"/>
          <w:lang w:eastAsia="zh-CN"/>
        </w:rPr>
        <w:t>六</w:t>
      </w:r>
      <w:r>
        <w:rPr>
          <w:rFonts w:hint="eastAsia" w:ascii="宋体" w:hAnsi="宋体"/>
          <w:sz w:val="36"/>
          <w:szCs w:val="36"/>
        </w:rPr>
        <w:t>章  授权委托书（格式）</w:t>
      </w:r>
      <w:bookmarkEnd w:id="9"/>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3240"/>
        <w:gridCol w:w="1260"/>
        <w:gridCol w:w="3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503" w:type="dxa"/>
            <w:gridSpan w:val="2"/>
            <w:noWrap w:val="0"/>
            <w:vAlign w:val="center"/>
          </w:tcPr>
          <w:p>
            <w:pPr>
              <w:spacing w:line="400" w:lineRule="exact"/>
              <w:jc w:val="center"/>
              <w:rPr>
                <w:rFonts w:hint="eastAsia" w:ascii="宋体" w:hAnsi="宋体"/>
                <w:sz w:val="24"/>
                <w:szCs w:val="24"/>
              </w:rPr>
            </w:pPr>
            <w:bookmarkStart w:id="11" w:name="OLE_LINK1"/>
            <w:r>
              <w:rPr>
                <w:rFonts w:hint="eastAsia" w:ascii="宋体" w:hAnsi="宋体"/>
                <w:sz w:val="24"/>
                <w:szCs w:val="24"/>
              </w:rPr>
              <w:t>委　　　托　　　人</w:t>
            </w:r>
          </w:p>
        </w:tc>
        <w:tc>
          <w:tcPr>
            <w:tcW w:w="4588" w:type="dxa"/>
            <w:gridSpan w:val="2"/>
            <w:noWrap w:val="0"/>
            <w:vAlign w:val="center"/>
          </w:tcPr>
          <w:p>
            <w:pPr>
              <w:spacing w:line="400" w:lineRule="exact"/>
              <w:jc w:val="center"/>
              <w:rPr>
                <w:rFonts w:hint="eastAsia" w:ascii="宋体" w:hAnsi="宋体"/>
                <w:sz w:val="24"/>
                <w:szCs w:val="24"/>
              </w:rPr>
            </w:pPr>
            <w:r>
              <w:rPr>
                <w:rFonts w:hint="eastAsia" w:ascii="宋体" w:hAnsi="宋体"/>
                <w:sz w:val="24"/>
                <w:szCs w:val="24"/>
              </w:rPr>
              <w:t>受　　　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3" w:type="dxa"/>
            <w:noWrap w:val="0"/>
            <w:vAlign w:val="center"/>
          </w:tcPr>
          <w:p>
            <w:pPr>
              <w:spacing w:line="400" w:lineRule="exact"/>
              <w:jc w:val="center"/>
              <w:rPr>
                <w:rFonts w:hint="eastAsia" w:ascii="宋体" w:hAnsi="宋体"/>
                <w:sz w:val="24"/>
                <w:szCs w:val="24"/>
              </w:rPr>
            </w:pPr>
            <w:r>
              <w:rPr>
                <w:rFonts w:hint="eastAsia" w:ascii="宋体" w:hAnsi="宋体"/>
                <w:sz w:val="24"/>
                <w:szCs w:val="24"/>
              </w:rPr>
              <w:t>姓　　名</w:t>
            </w:r>
          </w:p>
        </w:tc>
        <w:tc>
          <w:tcPr>
            <w:tcW w:w="3240" w:type="dxa"/>
            <w:noWrap w:val="0"/>
            <w:vAlign w:val="center"/>
          </w:tcPr>
          <w:p>
            <w:pPr>
              <w:spacing w:line="400" w:lineRule="exact"/>
              <w:jc w:val="center"/>
              <w:rPr>
                <w:rFonts w:hint="eastAsia" w:ascii="宋体" w:hAnsi="宋体"/>
                <w:sz w:val="24"/>
                <w:szCs w:val="24"/>
              </w:rPr>
            </w:pPr>
          </w:p>
        </w:tc>
        <w:tc>
          <w:tcPr>
            <w:tcW w:w="1260" w:type="dxa"/>
            <w:noWrap w:val="0"/>
            <w:vAlign w:val="center"/>
          </w:tcPr>
          <w:p>
            <w:pPr>
              <w:spacing w:line="400" w:lineRule="exact"/>
              <w:jc w:val="center"/>
              <w:rPr>
                <w:rFonts w:hint="eastAsia" w:ascii="宋体" w:hAnsi="宋体"/>
                <w:sz w:val="24"/>
                <w:szCs w:val="24"/>
              </w:rPr>
            </w:pPr>
            <w:r>
              <w:rPr>
                <w:rFonts w:hint="eastAsia" w:ascii="宋体" w:hAnsi="宋体"/>
                <w:sz w:val="24"/>
                <w:szCs w:val="24"/>
              </w:rPr>
              <w:t>姓　　名</w:t>
            </w:r>
          </w:p>
        </w:tc>
        <w:tc>
          <w:tcPr>
            <w:tcW w:w="3328" w:type="dxa"/>
            <w:noWrap w:val="0"/>
            <w:vAlign w:val="center"/>
          </w:tcPr>
          <w:p>
            <w:pPr>
              <w:spacing w:line="40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3" w:type="dxa"/>
            <w:noWrap w:val="0"/>
            <w:vAlign w:val="center"/>
          </w:tcPr>
          <w:p>
            <w:pPr>
              <w:spacing w:line="400" w:lineRule="exact"/>
              <w:jc w:val="center"/>
              <w:rPr>
                <w:rFonts w:hint="eastAsia" w:ascii="宋体" w:hAnsi="宋体"/>
                <w:sz w:val="24"/>
                <w:szCs w:val="24"/>
              </w:rPr>
            </w:pPr>
            <w:r>
              <w:rPr>
                <w:rFonts w:hint="eastAsia" w:ascii="宋体" w:hAnsi="宋体"/>
                <w:sz w:val="24"/>
                <w:szCs w:val="24"/>
              </w:rPr>
              <w:t>性　　别</w:t>
            </w:r>
          </w:p>
        </w:tc>
        <w:tc>
          <w:tcPr>
            <w:tcW w:w="3240" w:type="dxa"/>
            <w:noWrap w:val="0"/>
            <w:vAlign w:val="center"/>
          </w:tcPr>
          <w:p>
            <w:pPr>
              <w:spacing w:line="400" w:lineRule="exact"/>
              <w:jc w:val="center"/>
              <w:rPr>
                <w:rFonts w:hint="eastAsia" w:ascii="宋体" w:hAnsi="宋体"/>
                <w:sz w:val="24"/>
                <w:szCs w:val="24"/>
              </w:rPr>
            </w:pPr>
          </w:p>
        </w:tc>
        <w:tc>
          <w:tcPr>
            <w:tcW w:w="1260" w:type="dxa"/>
            <w:noWrap w:val="0"/>
            <w:vAlign w:val="center"/>
          </w:tcPr>
          <w:p>
            <w:pPr>
              <w:spacing w:line="400" w:lineRule="exact"/>
              <w:jc w:val="center"/>
              <w:rPr>
                <w:rFonts w:hint="eastAsia" w:ascii="宋体" w:hAnsi="宋体"/>
                <w:sz w:val="24"/>
                <w:szCs w:val="24"/>
              </w:rPr>
            </w:pPr>
            <w:r>
              <w:rPr>
                <w:rFonts w:hint="eastAsia" w:ascii="宋体" w:hAnsi="宋体"/>
                <w:sz w:val="24"/>
                <w:szCs w:val="24"/>
              </w:rPr>
              <w:t>性　　别</w:t>
            </w:r>
          </w:p>
        </w:tc>
        <w:tc>
          <w:tcPr>
            <w:tcW w:w="3328" w:type="dxa"/>
            <w:noWrap w:val="0"/>
            <w:vAlign w:val="center"/>
          </w:tcPr>
          <w:p>
            <w:pPr>
              <w:spacing w:line="40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3" w:type="dxa"/>
            <w:noWrap w:val="0"/>
            <w:vAlign w:val="center"/>
          </w:tcPr>
          <w:p>
            <w:pPr>
              <w:spacing w:line="400" w:lineRule="exact"/>
              <w:jc w:val="center"/>
              <w:rPr>
                <w:rFonts w:hint="eastAsia" w:ascii="宋体" w:hAnsi="宋体"/>
                <w:sz w:val="24"/>
                <w:szCs w:val="24"/>
              </w:rPr>
            </w:pPr>
            <w:r>
              <w:rPr>
                <w:rFonts w:hint="eastAsia" w:ascii="宋体" w:hAnsi="宋体"/>
                <w:sz w:val="24"/>
                <w:szCs w:val="24"/>
              </w:rPr>
              <w:t>工作单位</w:t>
            </w:r>
          </w:p>
        </w:tc>
        <w:tc>
          <w:tcPr>
            <w:tcW w:w="3240" w:type="dxa"/>
            <w:noWrap w:val="0"/>
            <w:vAlign w:val="center"/>
          </w:tcPr>
          <w:p>
            <w:pPr>
              <w:spacing w:line="400" w:lineRule="exact"/>
              <w:jc w:val="center"/>
              <w:rPr>
                <w:rFonts w:hint="eastAsia" w:ascii="宋体" w:hAnsi="宋体"/>
                <w:sz w:val="24"/>
                <w:szCs w:val="24"/>
              </w:rPr>
            </w:pPr>
          </w:p>
        </w:tc>
        <w:tc>
          <w:tcPr>
            <w:tcW w:w="1260" w:type="dxa"/>
            <w:noWrap w:val="0"/>
            <w:vAlign w:val="center"/>
          </w:tcPr>
          <w:p>
            <w:pPr>
              <w:spacing w:line="400" w:lineRule="exact"/>
              <w:jc w:val="center"/>
              <w:rPr>
                <w:rFonts w:hint="eastAsia" w:ascii="宋体" w:hAnsi="宋体"/>
                <w:sz w:val="24"/>
                <w:szCs w:val="24"/>
              </w:rPr>
            </w:pPr>
            <w:r>
              <w:rPr>
                <w:rFonts w:hint="eastAsia" w:ascii="宋体" w:hAnsi="宋体"/>
                <w:sz w:val="24"/>
                <w:szCs w:val="24"/>
              </w:rPr>
              <w:t>工作单位</w:t>
            </w:r>
          </w:p>
        </w:tc>
        <w:tc>
          <w:tcPr>
            <w:tcW w:w="3328" w:type="dxa"/>
            <w:noWrap w:val="0"/>
            <w:vAlign w:val="center"/>
          </w:tcPr>
          <w:p>
            <w:pPr>
              <w:spacing w:line="40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3" w:type="dxa"/>
            <w:noWrap w:val="0"/>
            <w:vAlign w:val="center"/>
          </w:tcPr>
          <w:p>
            <w:pPr>
              <w:spacing w:line="400" w:lineRule="exact"/>
              <w:jc w:val="center"/>
              <w:rPr>
                <w:rFonts w:hint="eastAsia" w:ascii="宋体" w:hAnsi="宋体"/>
                <w:sz w:val="24"/>
                <w:szCs w:val="24"/>
              </w:rPr>
            </w:pPr>
            <w:r>
              <w:rPr>
                <w:rFonts w:hint="eastAsia" w:ascii="宋体" w:hAnsi="宋体"/>
                <w:sz w:val="24"/>
                <w:szCs w:val="24"/>
              </w:rPr>
              <w:t>职　　务</w:t>
            </w:r>
          </w:p>
        </w:tc>
        <w:tc>
          <w:tcPr>
            <w:tcW w:w="3240" w:type="dxa"/>
            <w:noWrap w:val="0"/>
            <w:vAlign w:val="center"/>
          </w:tcPr>
          <w:p>
            <w:pPr>
              <w:spacing w:line="400" w:lineRule="exact"/>
              <w:jc w:val="center"/>
              <w:rPr>
                <w:rFonts w:hint="eastAsia" w:ascii="宋体" w:hAnsi="宋体"/>
                <w:sz w:val="24"/>
                <w:szCs w:val="24"/>
              </w:rPr>
            </w:pPr>
          </w:p>
        </w:tc>
        <w:tc>
          <w:tcPr>
            <w:tcW w:w="1260" w:type="dxa"/>
            <w:noWrap w:val="0"/>
            <w:vAlign w:val="center"/>
          </w:tcPr>
          <w:p>
            <w:pPr>
              <w:spacing w:line="400" w:lineRule="exact"/>
              <w:jc w:val="center"/>
              <w:rPr>
                <w:rFonts w:hint="eastAsia" w:ascii="宋体" w:hAnsi="宋体"/>
                <w:sz w:val="24"/>
                <w:szCs w:val="24"/>
              </w:rPr>
            </w:pPr>
            <w:r>
              <w:rPr>
                <w:rFonts w:hint="eastAsia" w:ascii="宋体" w:hAnsi="宋体"/>
                <w:sz w:val="24"/>
                <w:szCs w:val="24"/>
              </w:rPr>
              <w:t>职　　务</w:t>
            </w:r>
          </w:p>
        </w:tc>
        <w:tc>
          <w:tcPr>
            <w:tcW w:w="3328" w:type="dxa"/>
            <w:noWrap w:val="0"/>
            <w:vAlign w:val="center"/>
          </w:tcPr>
          <w:p>
            <w:pPr>
              <w:spacing w:line="40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3" w:type="dxa"/>
            <w:noWrap w:val="0"/>
            <w:vAlign w:val="center"/>
          </w:tcPr>
          <w:p>
            <w:pPr>
              <w:spacing w:line="400" w:lineRule="exact"/>
              <w:jc w:val="center"/>
              <w:rPr>
                <w:rFonts w:hint="eastAsia" w:ascii="宋体" w:hAnsi="宋体"/>
                <w:sz w:val="24"/>
                <w:szCs w:val="24"/>
              </w:rPr>
            </w:pPr>
            <w:r>
              <w:rPr>
                <w:rFonts w:hint="eastAsia" w:ascii="宋体" w:hAnsi="宋体"/>
                <w:sz w:val="24"/>
                <w:szCs w:val="24"/>
              </w:rPr>
              <w:t>联系电话</w:t>
            </w:r>
          </w:p>
        </w:tc>
        <w:tc>
          <w:tcPr>
            <w:tcW w:w="3240" w:type="dxa"/>
            <w:noWrap w:val="0"/>
            <w:vAlign w:val="center"/>
          </w:tcPr>
          <w:p>
            <w:pPr>
              <w:spacing w:line="400" w:lineRule="exact"/>
              <w:jc w:val="center"/>
              <w:rPr>
                <w:rFonts w:hint="eastAsia" w:ascii="宋体" w:hAnsi="宋体"/>
                <w:sz w:val="24"/>
                <w:szCs w:val="24"/>
              </w:rPr>
            </w:pPr>
          </w:p>
        </w:tc>
        <w:tc>
          <w:tcPr>
            <w:tcW w:w="1260" w:type="dxa"/>
            <w:noWrap w:val="0"/>
            <w:vAlign w:val="center"/>
          </w:tcPr>
          <w:p>
            <w:pPr>
              <w:spacing w:line="400" w:lineRule="exact"/>
              <w:jc w:val="center"/>
              <w:rPr>
                <w:rFonts w:hint="eastAsia" w:ascii="宋体" w:hAnsi="宋体"/>
                <w:sz w:val="24"/>
                <w:szCs w:val="24"/>
              </w:rPr>
            </w:pPr>
            <w:r>
              <w:rPr>
                <w:rFonts w:hint="eastAsia" w:ascii="宋体" w:hAnsi="宋体"/>
                <w:sz w:val="24"/>
                <w:szCs w:val="24"/>
              </w:rPr>
              <w:t>联系电话</w:t>
            </w:r>
          </w:p>
        </w:tc>
        <w:tc>
          <w:tcPr>
            <w:tcW w:w="3328" w:type="dxa"/>
            <w:noWrap w:val="0"/>
            <w:vAlign w:val="center"/>
          </w:tcPr>
          <w:p>
            <w:pPr>
              <w:spacing w:line="40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3" w:type="dxa"/>
            <w:vMerge w:val="restart"/>
            <w:noWrap w:val="0"/>
            <w:vAlign w:val="center"/>
          </w:tcPr>
          <w:p>
            <w:pPr>
              <w:spacing w:line="400" w:lineRule="exact"/>
              <w:jc w:val="center"/>
              <w:rPr>
                <w:rFonts w:hint="eastAsia" w:ascii="宋体" w:hAnsi="宋体"/>
                <w:sz w:val="24"/>
                <w:szCs w:val="24"/>
              </w:rPr>
            </w:pPr>
            <w:r>
              <w:rPr>
                <w:rFonts w:hint="eastAsia" w:ascii="宋体" w:hAnsi="宋体"/>
                <w:sz w:val="24"/>
                <w:szCs w:val="24"/>
              </w:rPr>
              <w:t>证件号码</w:t>
            </w:r>
          </w:p>
        </w:tc>
        <w:tc>
          <w:tcPr>
            <w:tcW w:w="3240" w:type="dxa"/>
            <w:noWrap w:val="0"/>
            <w:vAlign w:val="center"/>
          </w:tcPr>
          <w:p>
            <w:pPr>
              <w:spacing w:line="400" w:lineRule="exact"/>
              <w:jc w:val="center"/>
              <w:rPr>
                <w:rFonts w:hint="eastAsia" w:ascii="宋体" w:hAnsi="宋体"/>
                <w:sz w:val="24"/>
                <w:szCs w:val="24"/>
              </w:rPr>
            </w:pPr>
            <w:r>
              <w:rPr>
                <w:rFonts w:hint="eastAsia" w:ascii="宋体" w:hAnsi="宋体"/>
                <w:sz w:val="24"/>
                <w:szCs w:val="24"/>
              </w:rPr>
              <w:t>身份证(  )护照(  )</w:t>
            </w:r>
          </w:p>
        </w:tc>
        <w:tc>
          <w:tcPr>
            <w:tcW w:w="1260" w:type="dxa"/>
            <w:vMerge w:val="restart"/>
            <w:noWrap w:val="0"/>
            <w:vAlign w:val="center"/>
          </w:tcPr>
          <w:p>
            <w:pPr>
              <w:spacing w:line="400" w:lineRule="exact"/>
              <w:jc w:val="center"/>
              <w:rPr>
                <w:rFonts w:hint="eastAsia" w:ascii="宋体" w:hAnsi="宋体"/>
                <w:sz w:val="24"/>
                <w:szCs w:val="24"/>
              </w:rPr>
            </w:pPr>
            <w:r>
              <w:rPr>
                <w:rFonts w:hint="eastAsia" w:ascii="宋体" w:hAnsi="宋体"/>
                <w:sz w:val="24"/>
                <w:szCs w:val="24"/>
              </w:rPr>
              <w:t>证件号码</w:t>
            </w:r>
          </w:p>
        </w:tc>
        <w:tc>
          <w:tcPr>
            <w:tcW w:w="3328" w:type="dxa"/>
            <w:noWrap w:val="0"/>
            <w:vAlign w:val="center"/>
          </w:tcPr>
          <w:p>
            <w:pPr>
              <w:spacing w:line="400" w:lineRule="exact"/>
              <w:jc w:val="center"/>
              <w:rPr>
                <w:rFonts w:hint="eastAsia" w:ascii="宋体" w:hAnsi="宋体"/>
                <w:sz w:val="24"/>
                <w:szCs w:val="24"/>
              </w:rPr>
            </w:pPr>
            <w:r>
              <w:rPr>
                <w:rFonts w:hint="eastAsia" w:ascii="宋体" w:hAnsi="宋体"/>
                <w:sz w:val="24"/>
                <w:szCs w:val="24"/>
              </w:rPr>
              <w:t>身份证(  )护照(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3" w:type="dxa"/>
            <w:vMerge w:val="continue"/>
            <w:noWrap w:val="0"/>
            <w:vAlign w:val="center"/>
          </w:tcPr>
          <w:p>
            <w:pPr>
              <w:spacing w:line="400" w:lineRule="exact"/>
              <w:jc w:val="center"/>
              <w:rPr>
                <w:rFonts w:hint="eastAsia" w:ascii="宋体" w:hAnsi="宋体"/>
                <w:sz w:val="24"/>
                <w:szCs w:val="24"/>
              </w:rPr>
            </w:pPr>
          </w:p>
        </w:tc>
        <w:tc>
          <w:tcPr>
            <w:tcW w:w="3240" w:type="dxa"/>
            <w:noWrap w:val="0"/>
            <w:vAlign w:val="center"/>
          </w:tcPr>
          <w:p>
            <w:pPr>
              <w:spacing w:line="400" w:lineRule="exact"/>
              <w:jc w:val="center"/>
              <w:rPr>
                <w:rFonts w:hint="eastAsia" w:ascii="宋体" w:hAnsi="宋体"/>
                <w:sz w:val="24"/>
                <w:szCs w:val="24"/>
              </w:rPr>
            </w:pPr>
          </w:p>
        </w:tc>
        <w:tc>
          <w:tcPr>
            <w:tcW w:w="1260" w:type="dxa"/>
            <w:vMerge w:val="continue"/>
            <w:noWrap w:val="0"/>
            <w:vAlign w:val="center"/>
          </w:tcPr>
          <w:p>
            <w:pPr>
              <w:spacing w:line="400" w:lineRule="exact"/>
              <w:jc w:val="center"/>
              <w:rPr>
                <w:rFonts w:hint="eastAsia" w:ascii="宋体" w:hAnsi="宋体"/>
                <w:sz w:val="24"/>
                <w:szCs w:val="24"/>
              </w:rPr>
            </w:pPr>
          </w:p>
        </w:tc>
        <w:tc>
          <w:tcPr>
            <w:tcW w:w="3328" w:type="dxa"/>
            <w:noWrap w:val="0"/>
            <w:vAlign w:val="center"/>
          </w:tcPr>
          <w:p>
            <w:pPr>
              <w:spacing w:line="40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0" w:hRule="atLeast"/>
          <w:jc w:val="center"/>
        </w:trPr>
        <w:tc>
          <w:tcPr>
            <w:tcW w:w="9091" w:type="dxa"/>
            <w:gridSpan w:val="4"/>
            <w:noWrap w:val="0"/>
            <w:vAlign w:val="top"/>
          </w:tcPr>
          <w:p>
            <w:pPr>
              <w:spacing w:line="500" w:lineRule="exact"/>
              <w:rPr>
                <w:rFonts w:hint="eastAsia" w:ascii="宋体" w:hAnsi="宋体"/>
                <w:sz w:val="24"/>
                <w:szCs w:val="24"/>
              </w:rPr>
            </w:pPr>
            <w:r>
              <w:rPr>
                <w:rFonts w:hint="eastAsia" w:ascii="宋体" w:hAnsi="宋体"/>
                <w:sz w:val="24"/>
                <w:szCs w:val="24"/>
              </w:rPr>
              <w:t>致</w:t>
            </w:r>
            <w:r>
              <w:rPr>
                <w:rFonts w:hint="eastAsia" w:ascii="宋体" w:hAnsi="宋体"/>
                <w:sz w:val="24"/>
                <w:szCs w:val="24"/>
                <w:lang w:val="en-US" w:eastAsia="zh-CN"/>
              </w:rPr>
              <w:t>丽水中侨</w:t>
            </w:r>
            <w:r>
              <w:rPr>
                <w:rFonts w:hint="eastAsia" w:ascii="宋体" w:hAnsi="宋体"/>
                <w:sz w:val="24"/>
                <w:szCs w:val="24"/>
              </w:rPr>
              <w:t>拍卖行有限公司：</w:t>
            </w:r>
          </w:p>
          <w:p>
            <w:pPr>
              <w:spacing w:line="500" w:lineRule="exact"/>
              <w:ind w:firstLine="458" w:firstLineChars="191"/>
              <w:rPr>
                <w:rFonts w:hint="eastAsia" w:ascii="宋体" w:hAnsi="宋体"/>
                <w:sz w:val="24"/>
                <w:szCs w:val="24"/>
              </w:rPr>
            </w:pPr>
            <w:r>
              <w:rPr>
                <w:rFonts w:hint="eastAsia" w:ascii="宋体" w:hAnsi="宋体"/>
                <w:sz w:val="24"/>
                <w:szCs w:val="24"/>
              </w:rPr>
              <w:t>现委托</w:t>
            </w:r>
            <w:r>
              <w:rPr>
                <w:rFonts w:hint="eastAsia" w:ascii="宋体" w:hAnsi="宋体"/>
                <w:sz w:val="24"/>
                <w:szCs w:val="24"/>
                <w:u w:val="single"/>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为我单位参加</w:t>
            </w:r>
            <w:r>
              <w:rPr>
                <w:rFonts w:hint="eastAsia" w:ascii="宋体" w:hAnsi="宋体" w:eastAsia="宋体"/>
                <w:color w:val="000000"/>
                <w:sz w:val="24"/>
                <w:szCs w:val="24"/>
                <w:u w:val="single"/>
                <w:lang w:val="en-US" w:eastAsia="zh-CN"/>
              </w:rPr>
              <w:t>侨乡</w:t>
            </w:r>
            <w:r>
              <w:rPr>
                <w:rFonts w:hint="eastAsia" w:ascii="宋体" w:hAnsi="宋体" w:eastAsia="宋体"/>
                <w:sz w:val="24"/>
                <w:szCs w:val="24"/>
                <w:u w:val="single"/>
                <w:lang w:val="en-US" w:eastAsia="zh-CN"/>
              </w:rPr>
              <w:t>青田县东堡山华侨文化旅游项目二期地块边坡工程开挖</w:t>
            </w:r>
            <w:r>
              <w:rPr>
                <w:rFonts w:hint="eastAsia" w:ascii="宋体" w:hAnsi="宋体" w:eastAsia="宋体"/>
                <w:color w:val="000000"/>
                <w:sz w:val="24"/>
                <w:szCs w:val="24"/>
                <w:u w:val="single"/>
                <w:lang w:val="en-US" w:eastAsia="zh-CN"/>
              </w:rPr>
              <w:t>砂石料</w:t>
            </w:r>
            <w:r>
              <w:rPr>
                <w:rFonts w:hint="eastAsia" w:ascii="宋体" w:hAnsi="宋体"/>
                <w:color w:val="000000"/>
                <w:sz w:val="24"/>
                <w:szCs w:val="24"/>
                <w:u w:val="single"/>
              </w:rPr>
              <w:t>拍卖会</w:t>
            </w:r>
            <w:r>
              <w:rPr>
                <w:rFonts w:hint="eastAsia" w:ascii="宋体" w:hAnsi="宋体"/>
                <w:color w:val="000000"/>
                <w:sz w:val="24"/>
                <w:szCs w:val="24"/>
                <w:u w:val="single"/>
                <w:lang w:eastAsia="zh-CN"/>
              </w:rPr>
              <w:t>（</w:t>
            </w:r>
            <w:r>
              <w:rPr>
                <w:rFonts w:hint="eastAsia" w:ascii="宋体" w:hAnsi="宋体" w:eastAsia="宋体"/>
                <w:sz w:val="24"/>
                <w:szCs w:val="24"/>
                <w:u w:val="single"/>
                <w:lang w:val="en-US" w:eastAsia="zh-CN"/>
              </w:rPr>
              <w:t>QTCQ202</w:t>
            </w:r>
            <w:r>
              <w:rPr>
                <w:rFonts w:hint="eastAsia" w:ascii="宋体" w:hAnsi="宋体"/>
                <w:sz w:val="24"/>
                <w:szCs w:val="24"/>
                <w:u w:val="single"/>
                <w:lang w:val="en-US" w:eastAsia="zh-CN"/>
              </w:rPr>
              <w:t>3</w:t>
            </w:r>
            <w:r>
              <w:rPr>
                <w:rFonts w:hint="eastAsia" w:ascii="宋体" w:hAnsi="宋体" w:eastAsia="宋体"/>
                <w:sz w:val="24"/>
                <w:szCs w:val="24"/>
                <w:u w:val="single"/>
                <w:lang w:val="en-US" w:eastAsia="zh-CN"/>
              </w:rPr>
              <w:t>-0</w:t>
            </w:r>
            <w:r>
              <w:rPr>
                <w:rFonts w:hint="eastAsia" w:ascii="宋体" w:hAnsi="宋体"/>
                <w:color w:val="auto"/>
                <w:sz w:val="24"/>
                <w:szCs w:val="24"/>
                <w:u w:val="single"/>
                <w:lang w:val="en-US" w:eastAsia="zh-CN"/>
              </w:rPr>
              <w:t>04</w:t>
            </w:r>
            <w:r>
              <w:rPr>
                <w:rFonts w:hint="eastAsia" w:ascii="宋体" w:hAnsi="宋体" w:eastAsia="宋体"/>
                <w:color w:val="auto"/>
                <w:sz w:val="24"/>
                <w:szCs w:val="24"/>
                <w:u w:val="single"/>
                <w:lang w:val="en-US" w:eastAsia="zh-CN"/>
              </w:rPr>
              <w:t>）</w:t>
            </w:r>
            <w:r>
              <w:rPr>
                <w:rFonts w:hint="eastAsia" w:ascii="宋体" w:hAnsi="宋体" w:eastAsia="宋体"/>
                <w:sz w:val="24"/>
                <w:szCs w:val="24"/>
                <w:u w:val="none"/>
                <w:lang w:val="en-US" w:eastAsia="zh-CN"/>
              </w:rPr>
              <w:t>的</w:t>
            </w:r>
            <w:r>
              <w:rPr>
                <w:rFonts w:hint="eastAsia" w:ascii="宋体" w:hAnsi="宋体"/>
                <w:color w:val="000000"/>
                <w:sz w:val="24"/>
                <w:szCs w:val="24"/>
              </w:rPr>
              <w:t>委托代理人，以我单位的名义参加</w:t>
            </w:r>
            <w:r>
              <w:rPr>
                <w:rFonts w:hint="eastAsia" w:ascii="宋体" w:hAnsi="宋体"/>
                <w:color w:val="000000"/>
                <w:sz w:val="24"/>
                <w:szCs w:val="24"/>
                <w:lang w:val="en-US" w:eastAsia="zh-CN"/>
              </w:rPr>
              <w:t>丽水中侨</w:t>
            </w:r>
            <w:r>
              <w:rPr>
                <w:rFonts w:hint="eastAsia" w:ascii="宋体" w:hAnsi="宋体"/>
                <w:color w:val="000000"/>
                <w:sz w:val="24"/>
                <w:szCs w:val="24"/>
              </w:rPr>
              <w:t>拍卖行有限公司</w:t>
            </w:r>
            <w:r>
              <w:rPr>
                <w:rFonts w:hint="eastAsia" w:ascii="宋体" w:hAnsi="宋体"/>
                <w:color w:val="auto"/>
                <w:sz w:val="24"/>
                <w:szCs w:val="24"/>
              </w:rPr>
              <w:t>于202</w:t>
            </w:r>
            <w:r>
              <w:rPr>
                <w:rFonts w:hint="eastAsia" w:ascii="宋体" w:hAnsi="宋体"/>
                <w:color w:val="auto"/>
                <w:sz w:val="24"/>
                <w:szCs w:val="24"/>
                <w:lang w:val="en-US" w:eastAsia="zh-CN"/>
              </w:rPr>
              <w:t>3</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7</w:t>
            </w:r>
            <w:r>
              <w:rPr>
                <w:rFonts w:hint="eastAsia" w:ascii="宋体" w:hAnsi="宋体"/>
                <w:color w:val="auto"/>
                <w:sz w:val="24"/>
                <w:szCs w:val="24"/>
              </w:rPr>
              <w:t>日</w:t>
            </w:r>
            <w:r>
              <w:rPr>
                <w:rFonts w:hint="eastAsia" w:ascii="宋体" w:hAnsi="宋体"/>
                <w:color w:val="auto"/>
                <w:sz w:val="24"/>
                <w:szCs w:val="24"/>
                <w:lang w:val="en-US" w:eastAsia="zh-CN"/>
              </w:rPr>
              <w:t>下</w:t>
            </w:r>
            <w:r>
              <w:rPr>
                <w:rFonts w:hint="eastAsia" w:ascii="宋体" w:hAnsi="宋体"/>
                <w:color w:val="000000"/>
                <w:sz w:val="24"/>
                <w:szCs w:val="24"/>
                <w:lang w:val="en-US" w:eastAsia="zh-CN"/>
              </w:rPr>
              <w:t>午14:30</w:t>
            </w:r>
            <w:r>
              <w:rPr>
                <w:rFonts w:hint="eastAsia" w:ascii="宋体" w:hAnsi="宋体"/>
                <w:color w:val="000000"/>
                <w:sz w:val="24"/>
                <w:szCs w:val="24"/>
              </w:rPr>
              <w:t>在</w:t>
            </w:r>
            <w:r>
              <w:rPr>
                <w:rFonts w:hint="eastAsia" w:ascii="宋体" w:hAnsi="宋体"/>
                <w:color w:val="000000"/>
                <w:sz w:val="24"/>
                <w:szCs w:val="24"/>
                <w:lang w:eastAsia="zh-CN"/>
              </w:rPr>
              <w:t>青田县瓯南街道百悦城5幢（华侨总部经济大楼）12楼1206招投标中心开标室（二）</w:t>
            </w:r>
            <w:r>
              <w:rPr>
                <w:rFonts w:hint="eastAsia" w:ascii="宋体" w:hAnsi="宋体"/>
                <w:color w:val="000000"/>
                <w:sz w:val="24"/>
                <w:szCs w:val="24"/>
              </w:rPr>
              <w:t>举行的</w:t>
            </w:r>
            <w:r>
              <w:rPr>
                <w:rFonts w:hint="eastAsia" w:ascii="宋体" w:hAnsi="宋体" w:eastAsia="宋体"/>
                <w:sz w:val="24"/>
                <w:szCs w:val="24"/>
                <w:u w:val="single"/>
                <w:lang w:val="en-US" w:eastAsia="zh-CN"/>
              </w:rPr>
              <w:t>青田县东堡山华侨文化旅游项目二期地块边坡工程开挖</w:t>
            </w:r>
            <w:r>
              <w:rPr>
                <w:rFonts w:hint="eastAsia" w:ascii="宋体" w:hAnsi="宋体" w:eastAsia="宋体"/>
                <w:color w:val="000000"/>
                <w:sz w:val="24"/>
                <w:szCs w:val="24"/>
                <w:u w:val="single"/>
                <w:lang w:val="en-US" w:eastAsia="zh-CN"/>
              </w:rPr>
              <w:t>砂石料</w:t>
            </w:r>
            <w:r>
              <w:rPr>
                <w:rFonts w:hint="eastAsia" w:ascii="宋体" w:hAnsi="宋体"/>
                <w:color w:val="000000"/>
                <w:sz w:val="24"/>
                <w:szCs w:val="24"/>
                <w:u w:val="single"/>
              </w:rPr>
              <w:t>拍卖会</w:t>
            </w:r>
            <w:r>
              <w:rPr>
                <w:rFonts w:hint="eastAsia" w:ascii="宋体" w:hAnsi="宋体"/>
                <w:color w:val="000000"/>
                <w:sz w:val="24"/>
                <w:szCs w:val="24"/>
                <w:u w:val="single"/>
                <w:lang w:eastAsia="zh-CN"/>
              </w:rPr>
              <w:t>（</w:t>
            </w:r>
            <w:r>
              <w:rPr>
                <w:rFonts w:hint="eastAsia" w:ascii="宋体" w:hAnsi="宋体" w:eastAsia="宋体"/>
                <w:color w:val="000000"/>
                <w:sz w:val="24"/>
                <w:szCs w:val="24"/>
                <w:u w:val="single"/>
                <w:lang w:val="en-US" w:eastAsia="zh-CN"/>
              </w:rPr>
              <w:t>QTCQ202</w:t>
            </w:r>
            <w:r>
              <w:rPr>
                <w:rFonts w:hint="eastAsia" w:ascii="宋体" w:hAnsi="宋体"/>
                <w:color w:val="000000"/>
                <w:sz w:val="24"/>
                <w:szCs w:val="24"/>
                <w:u w:val="single"/>
                <w:lang w:val="en-US" w:eastAsia="zh-CN"/>
              </w:rPr>
              <w:t>3</w:t>
            </w:r>
            <w:r>
              <w:rPr>
                <w:rFonts w:hint="eastAsia" w:ascii="宋体" w:hAnsi="宋体" w:eastAsia="宋体"/>
                <w:color w:val="000000"/>
                <w:sz w:val="24"/>
                <w:szCs w:val="24"/>
                <w:u w:val="single"/>
                <w:lang w:val="en-US" w:eastAsia="zh-CN"/>
              </w:rPr>
              <w:t>-0</w:t>
            </w:r>
            <w:r>
              <w:rPr>
                <w:rFonts w:hint="eastAsia" w:ascii="宋体" w:hAnsi="宋体"/>
                <w:color w:val="auto"/>
                <w:sz w:val="24"/>
                <w:szCs w:val="24"/>
                <w:u w:val="single"/>
                <w:lang w:val="en-US" w:eastAsia="zh-CN"/>
              </w:rPr>
              <w:t>04</w:t>
            </w:r>
            <w:r>
              <w:rPr>
                <w:rFonts w:hint="eastAsia" w:ascii="宋体" w:hAnsi="宋体" w:eastAsia="宋体"/>
                <w:color w:val="auto"/>
                <w:sz w:val="24"/>
                <w:szCs w:val="24"/>
                <w:u w:val="single"/>
                <w:lang w:val="en-US" w:eastAsia="zh-CN"/>
              </w:rPr>
              <w:t>）</w:t>
            </w:r>
            <w:r>
              <w:rPr>
                <w:rFonts w:hint="eastAsia" w:ascii="宋体" w:hAnsi="宋体"/>
                <w:color w:val="000000"/>
                <w:sz w:val="24"/>
                <w:szCs w:val="24"/>
              </w:rPr>
              <w:t>的公开拍卖事务。受委托人在本次拍卖活动中代表本单位签署的一切文件及竞价行为（</w:t>
            </w:r>
            <w:r>
              <w:rPr>
                <w:rFonts w:hint="eastAsia" w:ascii="宋体" w:hAnsi="宋体"/>
                <w:sz w:val="24"/>
                <w:szCs w:val="24"/>
              </w:rPr>
              <w:t>包括但不限于办理竞买申请手续、阅签拍卖文件、领取竞买号牌、竞价、签署《拍卖成交确认书》及拍卖笔录等），我单位均予承认并承担法律责任。</w:t>
            </w:r>
          </w:p>
          <w:p>
            <w:pPr>
              <w:spacing w:line="500" w:lineRule="exact"/>
              <w:ind w:firstLine="573"/>
              <w:rPr>
                <w:rFonts w:hint="eastAsia" w:ascii="宋体" w:hAnsi="宋体"/>
                <w:sz w:val="24"/>
                <w:szCs w:val="24"/>
              </w:rPr>
            </w:pPr>
            <w:r>
              <w:rPr>
                <w:rFonts w:hint="eastAsia"/>
                <w:szCs w:val="21"/>
              </w:rPr>
              <w:t xml:space="preserve">         </w:t>
            </w:r>
          </w:p>
          <w:p>
            <w:pPr>
              <w:spacing w:line="500" w:lineRule="exact"/>
              <w:ind w:firstLine="573"/>
              <w:rPr>
                <w:rFonts w:hint="eastAsia" w:ascii="宋体" w:hAnsi="宋体"/>
                <w:sz w:val="24"/>
                <w:szCs w:val="24"/>
              </w:rPr>
            </w:pPr>
            <w:r>
              <w:rPr>
                <w:rFonts w:hint="eastAsia"/>
                <w:szCs w:val="21"/>
              </w:rPr>
              <w:t xml:space="preserve">         </w:t>
            </w:r>
          </w:p>
          <w:p>
            <w:pPr>
              <w:spacing w:line="600" w:lineRule="exact"/>
              <w:ind w:left="3570" w:leftChars="1700" w:firstLine="240" w:firstLineChars="100"/>
              <w:rPr>
                <w:rFonts w:hint="eastAsia" w:ascii="宋体" w:hAnsi="宋体"/>
                <w:sz w:val="24"/>
                <w:szCs w:val="24"/>
                <w:u w:val="single"/>
              </w:rPr>
            </w:pPr>
            <w:bookmarkStart w:id="12" w:name="OLE_LINK2"/>
            <w:r>
              <w:rPr>
                <w:rFonts w:hint="eastAsia" w:ascii="宋体" w:hAnsi="宋体"/>
                <w:sz w:val="24"/>
                <w:szCs w:val="24"/>
              </w:rPr>
              <w:t>委托人(公章):</w:t>
            </w:r>
            <w:r>
              <w:rPr>
                <w:rFonts w:hint="eastAsia" w:ascii="宋体" w:hAnsi="宋体"/>
                <w:sz w:val="24"/>
                <w:szCs w:val="24"/>
                <w:u w:val="single"/>
              </w:rPr>
              <w:t xml:space="preserve">                          </w:t>
            </w:r>
          </w:p>
          <w:p>
            <w:pPr>
              <w:pStyle w:val="9"/>
              <w:spacing w:before="0" w:beforeAutospacing="0" w:after="0" w:afterAutospacing="0" w:line="600" w:lineRule="exact"/>
              <w:ind w:left="3570" w:leftChars="1700" w:right="420" w:rightChars="200" w:firstLine="240" w:firstLineChars="100"/>
              <w:rPr>
                <w:rFonts w:hint="eastAsia" w:cs="Times New Roman"/>
                <w:kern w:val="2"/>
                <w:u w:val="single"/>
              </w:rPr>
            </w:pPr>
            <w:r>
              <w:rPr>
                <w:rFonts w:hint="eastAsia" w:cs="Times New Roman"/>
                <w:kern w:val="2"/>
              </w:rPr>
              <w:t>法定代表人（签名且按手印）：</w:t>
            </w:r>
            <w:r>
              <w:rPr>
                <w:rFonts w:hint="eastAsia" w:cs="Times New Roman"/>
                <w:kern w:val="2"/>
                <w:u w:val="single"/>
              </w:rPr>
              <w:t xml:space="preserve">            </w:t>
            </w:r>
          </w:p>
          <w:p>
            <w:pPr>
              <w:spacing w:line="600" w:lineRule="exact"/>
              <w:ind w:firstLine="5160" w:firstLineChars="2150"/>
              <w:rPr>
                <w:rFonts w:hint="eastAsia" w:ascii="宋体" w:hAnsi="宋体"/>
                <w:sz w:val="24"/>
                <w:szCs w:val="24"/>
              </w:rPr>
            </w:pP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bookmarkEnd w:id="12"/>
          </w:p>
        </w:tc>
      </w:tr>
      <w:bookmarkEnd w:id="11"/>
    </w:tbl>
    <w:p>
      <w:pPr>
        <w:pStyle w:val="2"/>
        <w:spacing w:before="156" w:beforeLines="50" w:after="156" w:afterLines="50" w:line="360" w:lineRule="auto"/>
        <w:jc w:val="both"/>
        <w:rPr>
          <w:rFonts w:hint="eastAsia" w:ascii="宋体" w:hAnsi="宋体"/>
          <w:sz w:val="36"/>
          <w:szCs w:val="36"/>
        </w:rPr>
      </w:pPr>
    </w:p>
    <w:p>
      <w:pPr>
        <w:rPr>
          <w:rFonts w:hint="eastAsia"/>
        </w:rPr>
      </w:pPr>
    </w:p>
    <w:p>
      <w:pPr>
        <w:pStyle w:val="2"/>
        <w:spacing w:before="156" w:beforeLines="50" w:after="156" w:afterLines="50" w:line="360" w:lineRule="auto"/>
        <w:jc w:val="center"/>
        <w:rPr>
          <w:rFonts w:hint="eastAsia" w:ascii="宋体" w:hAnsi="宋体"/>
          <w:sz w:val="36"/>
          <w:szCs w:val="36"/>
        </w:rPr>
      </w:pPr>
      <w:r>
        <w:rPr>
          <w:rFonts w:hint="eastAsia" w:ascii="宋体" w:hAnsi="宋体"/>
          <w:sz w:val="36"/>
          <w:szCs w:val="36"/>
        </w:rPr>
        <w:t>第</w:t>
      </w:r>
      <w:r>
        <w:rPr>
          <w:rFonts w:hint="eastAsia" w:ascii="宋体" w:hAnsi="宋体"/>
          <w:sz w:val="36"/>
          <w:szCs w:val="36"/>
          <w:lang w:val="en-US" w:eastAsia="zh-CN"/>
        </w:rPr>
        <w:t>七</w:t>
      </w:r>
      <w:r>
        <w:rPr>
          <w:rFonts w:hint="eastAsia" w:ascii="宋体" w:hAnsi="宋体"/>
          <w:sz w:val="36"/>
          <w:szCs w:val="36"/>
        </w:rPr>
        <w:t xml:space="preserve">章  </w:t>
      </w:r>
      <w:r>
        <w:rPr>
          <w:rFonts w:hint="eastAsia" w:ascii="宋体" w:hAnsi="宋体"/>
          <w:color w:val="000000"/>
          <w:sz w:val="36"/>
          <w:szCs w:val="36"/>
          <w:lang w:eastAsia="zh-CN"/>
        </w:rPr>
        <w:t>砂石料</w:t>
      </w:r>
      <w:r>
        <w:rPr>
          <w:rFonts w:hint="eastAsia" w:ascii="宋体" w:hAnsi="宋体"/>
          <w:color w:val="000000"/>
          <w:sz w:val="36"/>
          <w:szCs w:val="36"/>
        </w:rPr>
        <w:t>出让合同书（</w:t>
      </w:r>
      <w:r>
        <w:rPr>
          <w:rFonts w:hint="eastAsia" w:ascii="宋体" w:hAnsi="宋体"/>
          <w:sz w:val="36"/>
          <w:szCs w:val="36"/>
        </w:rPr>
        <w:t>样本）</w:t>
      </w:r>
      <w:bookmarkEnd w:id="10"/>
    </w:p>
    <w:p>
      <w:pPr>
        <w:widowControl/>
        <w:spacing w:line="360" w:lineRule="auto"/>
        <w:jc w:val="left"/>
        <w:textAlignment w:val="baseline"/>
        <w:rPr>
          <w:rFonts w:hint="eastAsia" w:ascii="宋体" w:hAnsi="宋体"/>
          <w:szCs w:val="21"/>
          <w:u w:val="single"/>
        </w:rPr>
      </w:pPr>
      <w:r>
        <w:rPr>
          <w:rFonts w:hint="eastAsia" w:ascii="宋体" w:hAnsi="宋体"/>
          <w:szCs w:val="21"/>
        </w:rPr>
        <w:t>卖 方：</w:t>
      </w:r>
      <w:r>
        <w:rPr>
          <w:rFonts w:hint="eastAsia" w:ascii="宋体" w:hAnsi="宋体"/>
          <w:szCs w:val="21"/>
          <w:u w:val="single"/>
          <w:lang w:val="en-US" w:eastAsia="zh-CN"/>
        </w:rPr>
        <w:t>青田县砂石料工作中心</w:t>
      </w:r>
      <w:r>
        <w:rPr>
          <w:rFonts w:hint="eastAsia" w:ascii="宋体" w:hAnsi="宋体"/>
          <w:szCs w:val="21"/>
          <w:u w:val="single"/>
        </w:rPr>
        <w:t>(</w:t>
      </w:r>
      <w:r>
        <w:rPr>
          <w:rFonts w:hint="eastAsia" w:ascii="宋体" w:hAnsi="宋体"/>
          <w:szCs w:val="21"/>
        </w:rPr>
        <w:t xml:space="preserve">以下简称甲方) </w:t>
      </w:r>
    </w:p>
    <w:p>
      <w:pPr>
        <w:widowControl/>
        <w:spacing w:line="360" w:lineRule="auto"/>
        <w:jc w:val="left"/>
        <w:textAlignment w:val="baseline"/>
        <w:rPr>
          <w:rFonts w:hint="eastAsia" w:ascii="宋体" w:hAnsi="宋体"/>
          <w:szCs w:val="21"/>
        </w:rPr>
      </w:pPr>
      <w:r>
        <w:rPr>
          <w:rFonts w:hint="eastAsia" w:ascii="宋体" w:hAnsi="宋体"/>
          <w:szCs w:val="21"/>
        </w:rPr>
        <w:t>买 方：</w:t>
      </w:r>
      <w:r>
        <w:rPr>
          <w:rFonts w:hint="eastAsia" w:ascii="宋体" w:hAnsi="宋体"/>
          <w:szCs w:val="21"/>
          <w:u w:val="single"/>
        </w:rPr>
        <w:t xml:space="preserve">　　　　　　　     　　　     </w:t>
      </w:r>
      <w:r>
        <w:rPr>
          <w:rFonts w:hint="eastAsia" w:ascii="宋体" w:hAnsi="宋体"/>
          <w:szCs w:val="21"/>
        </w:rPr>
        <w:t xml:space="preserve"> (以下简称乙方)</w:t>
      </w:r>
    </w:p>
    <w:p>
      <w:pPr>
        <w:widowControl/>
        <w:spacing w:line="360" w:lineRule="auto"/>
        <w:ind w:firstLine="420" w:firstLineChars="200"/>
        <w:jc w:val="left"/>
        <w:textAlignment w:val="baseline"/>
        <w:rPr>
          <w:rFonts w:hint="eastAsia" w:ascii="宋体" w:hAnsi="宋体"/>
          <w:szCs w:val="21"/>
        </w:rPr>
      </w:pPr>
      <w:r>
        <w:rPr>
          <w:rFonts w:hint="eastAsia" w:ascii="宋体" w:hAnsi="宋体"/>
          <w:szCs w:val="21"/>
        </w:rPr>
        <w:t>202</w:t>
      </w:r>
      <w:r>
        <w:rPr>
          <w:rFonts w:hint="eastAsia" w:ascii="宋体" w:hAnsi="宋体"/>
          <w:szCs w:val="21"/>
          <w:lang w:val="en-US" w:eastAsia="zh-CN"/>
        </w:rPr>
        <w:t>3</w:t>
      </w:r>
      <w:r>
        <w:rPr>
          <w:rFonts w:hint="eastAsia" w:ascii="宋体" w:hAnsi="宋体"/>
          <w:szCs w:val="21"/>
        </w:rPr>
        <w:t>年　月　日于</w:t>
      </w:r>
      <w:r>
        <w:rPr>
          <w:rFonts w:hint="eastAsia" w:ascii="宋体" w:hAnsi="宋体"/>
          <w:color w:val="000000"/>
          <w:szCs w:val="21"/>
          <w:lang w:val="zh-CN"/>
        </w:rPr>
        <w:t>青田县瓯南街道百悦城5幢（华侨总部经济大楼）12楼1206招投标中心开标室（二）</w:t>
      </w:r>
      <w:r>
        <w:rPr>
          <w:rFonts w:hint="eastAsia" w:ascii="宋体" w:hAnsi="宋体" w:eastAsia="宋体"/>
          <w:color w:val="000000"/>
          <w:szCs w:val="21"/>
          <w:lang w:val="zh-CN"/>
        </w:rPr>
        <w:t>通</w:t>
      </w:r>
      <w:r>
        <w:rPr>
          <w:rFonts w:hint="eastAsia" w:ascii="宋体" w:hAnsi="宋体"/>
          <w:szCs w:val="21"/>
        </w:rPr>
        <w:t>过拍卖方式竞得</w:t>
      </w:r>
      <w:r>
        <w:rPr>
          <w:rFonts w:hint="eastAsia" w:ascii="宋体" w:hAnsi="宋体"/>
          <w:szCs w:val="21"/>
          <w:lang w:eastAsia="zh-CN"/>
        </w:rPr>
        <w:t>砂石料</w:t>
      </w:r>
      <w:r>
        <w:rPr>
          <w:rFonts w:hint="eastAsia" w:ascii="宋体" w:hAnsi="宋体"/>
          <w:szCs w:val="21"/>
        </w:rPr>
        <w:t>（</w:t>
      </w:r>
      <w:r>
        <w:rPr>
          <w:rFonts w:hint="eastAsia" w:ascii="宋体" w:hAnsi="宋体"/>
          <w:szCs w:val="21"/>
          <w:u w:val="single"/>
        </w:rPr>
        <w:t xml:space="preserve">  </w:t>
      </w:r>
      <w:r>
        <w:rPr>
          <w:rFonts w:hint="eastAsia" w:ascii="宋体" w:hAnsi="宋体"/>
          <w:szCs w:val="21"/>
        </w:rPr>
        <w:t>号标的），并达成以下协议：</w:t>
      </w:r>
    </w:p>
    <w:p>
      <w:pPr>
        <w:widowControl/>
        <w:spacing w:line="360" w:lineRule="auto"/>
        <w:ind w:firstLine="420" w:firstLineChars="200"/>
        <w:jc w:val="left"/>
        <w:textAlignment w:val="baseline"/>
        <w:rPr>
          <w:rFonts w:hint="eastAsia" w:ascii="宋体" w:hAnsi="宋体"/>
          <w:szCs w:val="21"/>
        </w:rPr>
      </w:pPr>
      <w:r>
        <w:rPr>
          <w:rFonts w:hint="eastAsia" w:ascii="宋体" w:hAnsi="宋体"/>
          <w:szCs w:val="21"/>
        </w:rPr>
        <w:t>一、协议组成部分：</w:t>
      </w:r>
    </w:p>
    <w:p>
      <w:pPr>
        <w:widowControl/>
        <w:spacing w:line="360" w:lineRule="auto"/>
        <w:ind w:firstLine="420" w:firstLineChars="200"/>
        <w:jc w:val="left"/>
        <w:textAlignment w:val="baseline"/>
        <w:rPr>
          <w:rFonts w:hint="eastAsia" w:ascii="宋体" w:hAnsi="宋体"/>
          <w:szCs w:val="21"/>
        </w:rPr>
      </w:pPr>
      <w:r>
        <w:rPr>
          <w:rFonts w:hint="eastAsia" w:ascii="宋体" w:hAnsi="宋体"/>
          <w:szCs w:val="21"/>
        </w:rPr>
        <w:t>1、</w:t>
      </w:r>
      <w:r>
        <w:rPr>
          <w:rFonts w:hint="eastAsia" w:ascii="宋体" w:hAnsi="宋体"/>
          <w:szCs w:val="21"/>
          <w:lang w:eastAsia="zh-CN"/>
        </w:rPr>
        <w:t>砂石料</w:t>
      </w:r>
      <w:r>
        <w:rPr>
          <w:rFonts w:hint="eastAsia" w:ascii="宋体" w:hAnsi="宋体"/>
          <w:szCs w:val="21"/>
        </w:rPr>
        <w:t>出让合同书；</w:t>
      </w:r>
    </w:p>
    <w:p>
      <w:pPr>
        <w:widowControl/>
        <w:spacing w:line="360" w:lineRule="auto"/>
        <w:ind w:firstLine="420" w:firstLineChars="200"/>
        <w:jc w:val="left"/>
        <w:textAlignment w:val="baseline"/>
        <w:rPr>
          <w:rFonts w:hint="eastAsia" w:ascii="宋体" w:hAnsi="宋体"/>
          <w:szCs w:val="21"/>
        </w:rPr>
      </w:pPr>
      <w:r>
        <w:rPr>
          <w:rFonts w:hint="eastAsia" w:ascii="宋体" w:hAnsi="宋体"/>
          <w:szCs w:val="21"/>
        </w:rPr>
        <w:t>2、合同专用条款；</w:t>
      </w:r>
    </w:p>
    <w:p>
      <w:pPr>
        <w:widowControl/>
        <w:spacing w:line="360" w:lineRule="auto"/>
        <w:ind w:firstLine="420" w:firstLineChars="200"/>
        <w:jc w:val="left"/>
        <w:textAlignment w:val="baseline"/>
        <w:rPr>
          <w:rFonts w:hint="eastAsia" w:ascii="宋体" w:hAnsi="宋体"/>
          <w:szCs w:val="21"/>
        </w:rPr>
      </w:pPr>
      <w:r>
        <w:rPr>
          <w:rFonts w:hint="eastAsia" w:ascii="宋体" w:hAnsi="宋体"/>
          <w:szCs w:val="21"/>
        </w:rPr>
        <w:t>3、成交确认书；</w:t>
      </w:r>
    </w:p>
    <w:p>
      <w:pPr>
        <w:widowControl/>
        <w:spacing w:line="360" w:lineRule="auto"/>
        <w:ind w:firstLine="420" w:firstLineChars="200"/>
        <w:jc w:val="left"/>
        <w:textAlignment w:val="baseline"/>
        <w:rPr>
          <w:rFonts w:hint="eastAsia" w:ascii="宋体" w:hAnsi="宋体"/>
          <w:szCs w:val="21"/>
        </w:rPr>
      </w:pPr>
      <w:r>
        <w:rPr>
          <w:rFonts w:hint="eastAsia" w:ascii="宋体" w:hAnsi="宋体"/>
          <w:szCs w:val="21"/>
        </w:rPr>
        <w:t>4、拍卖文件。</w:t>
      </w:r>
    </w:p>
    <w:p>
      <w:pPr>
        <w:widowControl/>
        <w:spacing w:line="360" w:lineRule="auto"/>
        <w:ind w:firstLine="420" w:firstLineChars="200"/>
        <w:jc w:val="left"/>
        <w:textAlignment w:val="baseline"/>
        <w:rPr>
          <w:rFonts w:hint="eastAsia" w:ascii="宋体" w:hAnsi="宋体"/>
          <w:szCs w:val="21"/>
        </w:rPr>
      </w:pPr>
      <w:r>
        <w:rPr>
          <w:rFonts w:hint="eastAsia" w:ascii="宋体" w:hAnsi="宋体"/>
          <w:szCs w:val="21"/>
        </w:rPr>
        <w:t>5、纳税辅导完结工作联系单。</w:t>
      </w:r>
    </w:p>
    <w:p>
      <w:pPr>
        <w:widowControl/>
        <w:spacing w:line="360" w:lineRule="auto"/>
        <w:ind w:firstLine="420" w:firstLineChars="200"/>
        <w:jc w:val="left"/>
        <w:textAlignment w:val="baseline"/>
        <w:rPr>
          <w:rFonts w:hint="eastAsia" w:ascii="宋体" w:hAnsi="宋体"/>
          <w:szCs w:val="21"/>
        </w:rPr>
      </w:pPr>
      <w:r>
        <w:rPr>
          <w:rFonts w:hint="eastAsia" w:ascii="宋体" w:hAnsi="宋体"/>
          <w:szCs w:val="21"/>
        </w:rPr>
        <w:t>上述所指合同文件应认为是互相补充和解释的，但是有相悖或互相矛盾之处，以本合同书为准 。</w:t>
      </w:r>
    </w:p>
    <w:p>
      <w:pPr>
        <w:spacing w:line="360" w:lineRule="auto"/>
        <w:ind w:firstLine="367" w:firstLineChars="175"/>
        <w:rPr>
          <w:rFonts w:hint="eastAsia" w:ascii="宋体" w:hAnsi="宋体"/>
          <w:color w:val="FF0000"/>
          <w:szCs w:val="21"/>
        </w:rPr>
      </w:pPr>
      <w:r>
        <w:rPr>
          <w:rFonts w:hint="eastAsia" w:ascii="宋体" w:hAnsi="宋体"/>
          <w:szCs w:val="21"/>
        </w:rPr>
        <w:t>二、成交标的：</w:t>
      </w:r>
    </w:p>
    <w:p>
      <w:pPr>
        <w:spacing w:line="360" w:lineRule="auto"/>
        <w:ind w:firstLine="367" w:firstLineChars="175"/>
        <w:rPr>
          <w:rFonts w:hint="eastAsia" w:ascii="宋体" w:hAnsi="宋体"/>
          <w:szCs w:val="21"/>
          <w:u w:val="single"/>
        </w:rPr>
      </w:pPr>
      <w:r>
        <w:rPr>
          <w:rFonts w:hint="eastAsia" w:ascii="宋体" w:hAnsi="宋体"/>
          <w:szCs w:val="21"/>
        </w:rPr>
        <w:t>三、成交金额：</w:t>
      </w:r>
      <w:r>
        <w:rPr>
          <w:rFonts w:hint="eastAsia" w:ascii="宋体" w:hAnsi="宋体"/>
          <w:szCs w:val="21"/>
          <w:u w:val="single"/>
        </w:rPr>
        <w:t>　　　　　　　　　　　　　　　　万元。</w:t>
      </w:r>
    </w:p>
    <w:p>
      <w:pPr>
        <w:widowControl/>
        <w:spacing w:line="360" w:lineRule="auto"/>
        <w:ind w:firstLine="420" w:firstLineChars="200"/>
        <w:jc w:val="left"/>
        <w:textAlignment w:val="baseline"/>
        <w:rPr>
          <w:rFonts w:hint="eastAsia" w:ascii="宋体" w:hAnsi="宋体"/>
          <w:szCs w:val="21"/>
        </w:rPr>
      </w:pPr>
      <w:r>
        <w:rPr>
          <w:rFonts w:hint="eastAsia" w:ascii="宋体" w:hAnsi="宋体"/>
          <w:szCs w:val="21"/>
        </w:rPr>
        <w:t>根据乙方的成交报价，本协议成交金额为人民币（大写）</w:t>
      </w:r>
      <w:r>
        <w:rPr>
          <w:rFonts w:hint="eastAsia" w:ascii="宋体" w:hAnsi="宋体"/>
          <w:szCs w:val="21"/>
          <w:u w:val="single"/>
        </w:rPr>
        <w:t>：　　　　　　　　　　　　　</w:t>
      </w:r>
      <w:r>
        <w:rPr>
          <w:rFonts w:hint="eastAsia" w:ascii="宋体" w:hAnsi="宋体"/>
          <w:szCs w:val="21"/>
        </w:rPr>
        <w:t>。</w:t>
      </w:r>
    </w:p>
    <w:p>
      <w:pPr>
        <w:widowControl/>
        <w:spacing w:line="360" w:lineRule="auto"/>
        <w:ind w:firstLine="420" w:firstLineChars="200"/>
        <w:jc w:val="left"/>
        <w:textAlignment w:val="baseline"/>
        <w:rPr>
          <w:rFonts w:hint="eastAsia" w:ascii="宋体" w:hAnsi="宋体"/>
          <w:szCs w:val="21"/>
        </w:rPr>
      </w:pPr>
      <w:r>
        <w:rPr>
          <w:rFonts w:hint="eastAsia" w:ascii="宋体" w:hAnsi="宋体"/>
          <w:szCs w:val="21"/>
        </w:rPr>
        <w:t>本合同签订后，乙方须在20</w:t>
      </w:r>
      <w:r>
        <w:rPr>
          <w:rFonts w:hint="eastAsia" w:ascii="宋体" w:hAnsi="宋体"/>
          <w:szCs w:val="21"/>
          <w:lang w:val="en-US" w:eastAsia="zh-CN"/>
        </w:rPr>
        <w:t>23</w:t>
      </w:r>
      <w:r>
        <w:rPr>
          <w:rFonts w:hint="eastAsia" w:ascii="宋体" w:hAnsi="宋体"/>
          <w:szCs w:val="21"/>
        </w:rPr>
        <w:t>年　月　日下午</w:t>
      </w:r>
      <w:r>
        <w:rPr>
          <w:rFonts w:hint="eastAsia" w:ascii="宋体" w:hAnsi="宋体"/>
          <w:szCs w:val="21"/>
          <w:lang w:val="en-US" w:eastAsia="zh-CN"/>
        </w:rPr>
        <w:t>16</w:t>
      </w:r>
      <w:r>
        <w:rPr>
          <w:rFonts w:hint="eastAsia" w:ascii="宋体" w:hAnsi="宋体"/>
          <w:szCs w:val="21"/>
        </w:rPr>
        <w:t>点钟前向甲方支付</w:t>
      </w:r>
      <w:r>
        <w:rPr>
          <w:rFonts w:hint="eastAsia" w:ascii="宋体" w:hAnsi="宋体"/>
          <w:szCs w:val="21"/>
          <w:lang w:eastAsia="zh-CN"/>
        </w:rPr>
        <w:t>砂石料</w:t>
      </w:r>
      <w:r>
        <w:rPr>
          <w:rFonts w:hint="eastAsia" w:ascii="宋体" w:hAnsi="宋体"/>
          <w:szCs w:val="21"/>
        </w:rPr>
        <w:t>出让款</w:t>
      </w:r>
      <w:r>
        <w:rPr>
          <w:rFonts w:hint="eastAsia" w:ascii="宋体" w:hAnsi="宋体"/>
          <w:szCs w:val="21"/>
          <w:u w:val="single"/>
        </w:rPr>
        <w:t>　　　　　</w:t>
      </w:r>
      <w:r>
        <w:rPr>
          <w:rFonts w:hint="eastAsia" w:ascii="宋体" w:hAnsi="宋体"/>
          <w:szCs w:val="21"/>
        </w:rPr>
        <w:t>万元（￥　　）、本合同履约保证金</w:t>
      </w:r>
      <w:r>
        <w:rPr>
          <w:rFonts w:hint="eastAsia" w:ascii="宋体" w:hAnsi="宋体"/>
          <w:szCs w:val="21"/>
          <w:u w:val="single"/>
        </w:rPr>
        <w:t>　　　　　　　　　</w:t>
      </w:r>
      <w:r>
        <w:rPr>
          <w:rFonts w:hint="eastAsia" w:ascii="宋体" w:hAnsi="宋体"/>
          <w:szCs w:val="21"/>
        </w:rPr>
        <w:t>万元（￥　　）。逾期不付清成交价款的，即构成违约，其所交纳的竞买保证金作为违约金不予返还，且乙方无权对该标的主张任何权利。该标的由甲方另行处理，该标的若再行拍卖出让的，乙方应当支付第一次拍卖出让中甲方支付的拍卖佣金，另行拍卖出让该标的的价格低于原成交价的，乙方须补足差额。由于乙方违约不支付拍卖出让价款或不提取该标的，给甲方造成经济损失的，由乙方承担赔偿责任。</w:t>
      </w:r>
    </w:p>
    <w:p>
      <w:pPr>
        <w:widowControl/>
        <w:spacing w:line="360" w:lineRule="auto"/>
        <w:ind w:firstLine="420" w:firstLineChars="200"/>
        <w:jc w:val="left"/>
        <w:textAlignment w:val="baseline"/>
        <w:rPr>
          <w:rFonts w:hint="eastAsia" w:ascii="宋体" w:hAnsi="宋体"/>
          <w:szCs w:val="21"/>
        </w:rPr>
      </w:pPr>
      <w:r>
        <w:rPr>
          <w:rFonts w:hint="eastAsia" w:ascii="宋体" w:hAnsi="宋体"/>
          <w:szCs w:val="21"/>
        </w:rPr>
        <w:t>四、交接手续：拍卖成交后买受人持《拍卖成交确认书》，与甲方签订本协议后即视为交接完成。</w:t>
      </w:r>
    </w:p>
    <w:p>
      <w:pPr>
        <w:spacing w:line="360" w:lineRule="auto"/>
        <w:ind w:firstLine="367" w:firstLineChars="175"/>
        <w:rPr>
          <w:rFonts w:hint="eastAsia" w:ascii="宋体" w:hAnsi="宋体"/>
          <w:szCs w:val="21"/>
        </w:rPr>
      </w:pPr>
      <w:r>
        <w:rPr>
          <w:rFonts w:hint="eastAsia" w:ascii="宋体" w:hAnsi="宋体"/>
          <w:szCs w:val="21"/>
        </w:rPr>
        <w:t>六、违约行为和责任</w:t>
      </w:r>
    </w:p>
    <w:p>
      <w:pPr>
        <w:spacing w:line="360" w:lineRule="auto"/>
        <w:ind w:firstLine="420" w:firstLineChars="200"/>
        <w:rPr>
          <w:rFonts w:hint="eastAsia" w:ascii="宋体" w:hAnsi="宋体"/>
          <w:szCs w:val="21"/>
        </w:rPr>
      </w:pPr>
      <w:r>
        <w:rPr>
          <w:rFonts w:hint="eastAsia" w:ascii="宋体" w:hAnsi="宋体"/>
          <w:szCs w:val="21"/>
        </w:rPr>
        <w:t>1、本合同订立后，甲乙任何一方无故提出终止（解除）合同，应向对方一次性按合同标的额20%的标准支付违约金，给对方造成损失的，还应承担相应的赔偿责任。</w:t>
      </w:r>
    </w:p>
    <w:p>
      <w:pPr>
        <w:spacing w:line="360" w:lineRule="auto"/>
        <w:ind w:firstLine="420" w:firstLineChars="200"/>
        <w:rPr>
          <w:rFonts w:hint="eastAsia" w:ascii="宋体" w:hAnsi="宋体"/>
          <w:szCs w:val="21"/>
        </w:rPr>
      </w:pPr>
      <w:r>
        <w:rPr>
          <w:rFonts w:hint="eastAsia" w:ascii="宋体" w:hAnsi="宋体"/>
          <w:szCs w:val="21"/>
        </w:rPr>
        <w:t>2、甲乙任何一方违背其声明、保证和承诺的，另一方有权按合同标的额20%的标准要求对方支付违约金。</w:t>
      </w:r>
    </w:p>
    <w:p>
      <w:pPr>
        <w:spacing w:line="360" w:lineRule="auto"/>
        <w:ind w:firstLine="420" w:firstLineChars="200"/>
        <w:rPr>
          <w:rFonts w:hint="eastAsia" w:ascii="宋体" w:hAnsi="宋体"/>
          <w:szCs w:val="21"/>
        </w:rPr>
      </w:pPr>
      <w:r>
        <w:rPr>
          <w:rFonts w:hint="eastAsia" w:ascii="宋体" w:hAnsi="宋体"/>
          <w:szCs w:val="21"/>
        </w:rPr>
        <w:t>3、乙方未按合同约定支付成交价款的，甲方有权解除本合同，没收乙方所交全部保证金（包括本合同履约保证金</w:t>
      </w:r>
      <w:r>
        <w:rPr>
          <w:rFonts w:hint="eastAsia" w:ascii="宋体" w:hAnsi="宋体"/>
          <w:szCs w:val="21"/>
          <w:u w:val="single"/>
        </w:rPr>
        <w:t>　　</w:t>
      </w:r>
      <w:r>
        <w:rPr>
          <w:rFonts w:hint="eastAsia" w:ascii="宋体" w:hAnsi="宋体"/>
          <w:szCs w:val="21"/>
        </w:rPr>
        <w:t>万元和竞买保证金</w:t>
      </w:r>
      <w:r>
        <w:rPr>
          <w:rFonts w:hint="eastAsia" w:ascii="宋体" w:hAnsi="宋体"/>
          <w:szCs w:val="21"/>
          <w:u w:val="single"/>
        </w:rPr>
        <w:t xml:space="preserve">　   </w:t>
      </w:r>
      <w:r>
        <w:rPr>
          <w:rFonts w:hint="eastAsia" w:ascii="宋体" w:hAnsi="宋体"/>
          <w:szCs w:val="21"/>
        </w:rPr>
        <w:t>万元）并要求乙方按合同标的额的百分之二十赔偿损失，如甲方未行使解除权，则有权要求乙方每迟延一天按照应付未付款项的万分之五向甲方支付违约金。</w:t>
      </w:r>
    </w:p>
    <w:p>
      <w:pPr>
        <w:spacing w:line="360" w:lineRule="auto"/>
        <w:ind w:firstLine="420" w:firstLineChars="200"/>
        <w:rPr>
          <w:rFonts w:hint="eastAsia" w:ascii="宋体" w:hAnsi="宋体"/>
          <w:szCs w:val="21"/>
        </w:rPr>
      </w:pPr>
      <w:r>
        <w:rPr>
          <w:rFonts w:hint="eastAsia" w:ascii="宋体" w:hAnsi="宋体"/>
          <w:szCs w:val="21"/>
        </w:rPr>
        <w:t>4、除上述规定的违约赔偿责任外，如果由于乙方未履行转让合同，导致甲方需对转让标的重新进行拍卖的，则由此产生的费用应由乙方承担。如果甲方重新拍卖所得低于本次拍卖价的，则乙方应补足差额。</w:t>
      </w:r>
    </w:p>
    <w:p>
      <w:pPr>
        <w:spacing w:line="360" w:lineRule="auto"/>
        <w:ind w:firstLine="420" w:firstLineChars="200"/>
        <w:rPr>
          <w:rFonts w:hint="eastAsia" w:ascii="宋体" w:hAnsi="宋体"/>
          <w:szCs w:val="21"/>
        </w:rPr>
      </w:pPr>
      <w:r>
        <w:rPr>
          <w:rFonts w:hint="eastAsia" w:ascii="宋体" w:hAnsi="宋体"/>
          <w:szCs w:val="21"/>
        </w:rPr>
        <w:t>5、甲方未按本合同约定交割转让标的的，乙方有权解除本合同并有权要求甲方按合同标的额20%的标准支付违约金。</w:t>
      </w:r>
    </w:p>
    <w:p>
      <w:pPr>
        <w:spacing w:line="360" w:lineRule="auto"/>
        <w:ind w:firstLine="420" w:firstLineChars="200"/>
        <w:rPr>
          <w:rFonts w:hint="eastAsia" w:ascii="宋体" w:hAnsi="宋体"/>
          <w:szCs w:val="21"/>
        </w:rPr>
      </w:pPr>
      <w:r>
        <w:rPr>
          <w:rFonts w:hint="eastAsia" w:ascii="宋体" w:hAnsi="宋体"/>
          <w:szCs w:val="21"/>
        </w:rPr>
        <w:t>6、由于一方的过错造成本合同不能履行、不能完全履行或被政府有关部门认定为无效时，由过错的一方承担违约责任，双方均有过错的，则由双方按责任大小承担各自相应的责任。</w:t>
      </w:r>
    </w:p>
    <w:p>
      <w:pPr>
        <w:spacing w:line="360" w:lineRule="auto"/>
        <w:ind w:firstLine="422" w:firstLineChars="200"/>
        <w:rPr>
          <w:rFonts w:hint="eastAsia" w:ascii="宋体" w:hAnsi="宋体"/>
          <w:szCs w:val="21"/>
        </w:rPr>
      </w:pPr>
      <w:r>
        <w:rPr>
          <w:rFonts w:hint="eastAsia" w:ascii="宋体" w:hAnsi="宋体"/>
          <w:b/>
          <w:szCs w:val="21"/>
        </w:rPr>
        <w:t>七、</w:t>
      </w:r>
      <w:r>
        <w:rPr>
          <w:rFonts w:hint="eastAsia" w:ascii="宋体" w:hAnsi="宋体"/>
          <w:szCs w:val="21"/>
        </w:rPr>
        <w:t>乙方有下列行为之一的，甲方人有权解除合同：</w:t>
      </w:r>
    </w:p>
    <w:p>
      <w:pPr>
        <w:spacing w:line="360" w:lineRule="auto"/>
        <w:ind w:firstLine="422" w:firstLineChars="200"/>
        <w:rPr>
          <w:rFonts w:hint="eastAsia" w:ascii="宋体" w:hAnsi="宋体"/>
          <w:b/>
          <w:szCs w:val="21"/>
          <w:u w:val="single"/>
        </w:rPr>
      </w:pPr>
      <w:r>
        <w:rPr>
          <w:rFonts w:hint="eastAsia" w:ascii="宋体" w:hAnsi="宋体"/>
          <w:b/>
          <w:szCs w:val="21"/>
          <w:u w:val="single"/>
        </w:rPr>
        <w:t>1、乙方不遵守青田县</w:t>
      </w:r>
      <w:r>
        <w:rPr>
          <w:rFonts w:hint="eastAsia" w:ascii="宋体" w:hAnsi="宋体"/>
          <w:b/>
          <w:szCs w:val="21"/>
          <w:u w:val="single"/>
          <w:lang w:eastAsia="zh-CN"/>
        </w:rPr>
        <w:t>砂石料</w:t>
      </w:r>
      <w:r>
        <w:rPr>
          <w:rFonts w:hint="eastAsia" w:ascii="宋体" w:hAnsi="宋体"/>
          <w:b/>
          <w:szCs w:val="21"/>
          <w:u w:val="single"/>
        </w:rPr>
        <w:t>行业有关管理规定，在</w:t>
      </w:r>
      <w:r>
        <w:rPr>
          <w:rFonts w:hint="eastAsia" w:ascii="宋体" w:hAnsi="宋体"/>
          <w:b/>
          <w:szCs w:val="21"/>
          <w:u w:val="single"/>
          <w:lang w:eastAsia="zh-CN"/>
        </w:rPr>
        <w:t>砂石料</w:t>
      </w:r>
      <w:r>
        <w:rPr>
          <w:rFonts w:hint="eastAsia" w:ascii="宋体" w:hAnsi="宋体"/>
          <w:b/>
          <w:szCs w:val="21"/>
          <w:u w:val="single"/>
        </w:rPr>
        <w:t>处理过程期间发生违法行为和扰乱</w:t>
      </w:r>
      <w:r>
        <w:rPr>
          <w:rFonts w:hint="eastAsia" w:ascii="宋体" w:hAnsi="宋体"/>
          <w:b/>
          <w:szCs w:val="21"/>
          <w:u w:val="single"/>
          <w:lang w:eastAsia="zh-CN"/>
        </w:rPr>
        <w:t>砂石料</w:t>
      </w:r>
      <w:r>
        <w:rPr>
          <w:rFonts w:hint="eastAsia" w:ascii="宋体" w:hAnsi="宋体"/>
          <w:b/>
          <w:szCs w:val="21"/>
          <w:u w:val="single"/>
        </w:rPr>
        <w:t>行业秩序等违约行为的。甲方有权终止本合同并没收履约保证金       元</w:t>
      </w:r>
    </w:p>
    <w:p>
      <w:pPr>
        <w:spacing w:line="360" w:lineRule="auto"/>
        <w:ind w:firstLine="422" w:firstLineChars="200"/>
        <w:rPr>
          <w:rFonts w:hint="eastAsia" w:ascii="宋体" w:hAnsi="宋体"/>
          <w:b/>
          <w:szCs w:val="21"/>
          <w:u w:val="single"/>
        </w:rPr>
      </w:pPr>
      <w:r>
        <w:rPr>
          <w:rFonts w:hint="eastAsia" w:ascii="宋体" w:hAnsi="宋体"/>
          <w:b/>
          <w:szCs w:val="21"/>
          <w:u w:val="single"/>
        </w:rPr>
        <w:t>2、乙方的运输等相关行为造成的标的交割不及时，第一次甲方口头警告；第二次甲方向乙方发出书面通知并扣除履约保证金总额的30%；第三次甲方有权终止合同并没收履约保证金总额的70%。</w:t>
      </w:r>
    </w:p>
    <w:p>
      <w:pPr>
        <w:spacing w:line="360" w:lineRule="auto"/>
        <w:ind w:firstLine="422" w:firstLineChars="200"/>
        <w:rPr>
          <w:rFonts w:hint="eastAsia" w:ascii="宋体" w:hAnsi="宋体"/>
          <w:b/>
          <w:szCs w:val="21"/>
          <w:u w:val="single"/>
        </w:rPr>
      </w:pPr>
      <w:r>
        <w:rPr>
          <w:rFonts w:hint="eastAsia" w:ascii="宋体" w:hAnsi="宋体"/>
          <w:b/>
          <w:szCs w:val="21"/>
          <w:u w:val="single"/>
        </w:rPr>
        <w:t>3、乙方的运输等相关行为引起的标的交割不及时，造成耽误工程建设进度相关的一切经济责任与法律责任由乙方自行承担。</w:t>
      </w:r>
    </w:p>
    <w:p>
      <w:pPr>
        <w:spacing w:line="360" w:lineRule="auto"/>
        <w:ind w:firstLine="422" w:firstLineChars="200"/>
        <w:rPr>
          <w:rFonts w:hint="eastAsia" w:ascii="宋体" w:hAnsi="宋体"/>
          <w:b/>
          <w:szCs w:val="21"/>
          <w:u w:val="single"/>
        </w:rPr>
      </w:pPr>
      <w:r>
        <w:rPr>
          <w:rFonts w:hint="eastAsia" w:ascii="宋体" w:hAnsi="宋体"/>
          <w:b/>
          <w:szCs w:val="21"/>
          <w:u w:val="single"/>
        </w:rPr>
        <w:t>4、买受人不得违反《青田县</w:t>
      </w:r>
      <w:r>
        <w:rPr>
          <w:rFonts w:hint="eastAsia" w:ascii="宋体" w:hAnsi="宋体"/>
          <w:b/>
          <w:szCs w:val="21"/>
          <w:u w:val="single"/>
          <w:lang w:eastAsia="zh-CN"/>
        </w:rPr>
        <w:t>砂石料</w:t>
      </w:r>
      <w:r>
        <w:rPr>
          <w:rFonts w:hint="eastAsia" w:ascii="宋体" w:hAnsi="宋体"/>
          <w:b/>
          <w:szCs w:val="21"/>
          <w:u w:val="single"/>
        </w:rPr>
        <w:t>行业运输源头管控办法》相关规定，如若违反所造成的一切经济责任和法律责任由买受人自行承担。</w:t>
      </w:r>
    </w:p>
    <w:p>
      <w:pPr>
        <w:spacing w:line="360" w:lineRule="auto"/>
        <w:ind w:firstLine="422" w:firstLineChars="200"/>
        <w:rPr>
          <w:rFonts w:hint="eastAsia" w:ascii="宋体" w:hAnsi="宋体"/>
          <w:sz w:val="24"/>
          <w:szCs w:val="24"/>
        </w:rPr>
      </w:pPr>
      <w:r>
        <w:rPr>
          <w:rFonts w:hint="eastAsia" w:ascii="宋体" w:hAnsi="宋体"/>
          <w:b/>
          <w:szCs w:val="21"/>
          <w:u w:val="single"/>
        </w:rPr>
        <w:t>八、履约保证金在工程挖方结束，</w:t>
      </w:r>
      <w:r>
        <w:rPr>
          <w:rFonts w:hint="eastAsia" w:ascii="宋体" w:hAnsi="宋体"/>
          <w:b/>
          <w:szCs w:val="21"/>
          <w:u w:val="single"/>
          <w:lang w:eastAsia="zh-CN"/>
        </w:rPr>
        <w:t>砂石料</w:t>
      </w:r>
      <w:r>
        <w:rPr>
          <w:rFonts w:hint="eastAsia" w:ascii="宋体" w:hAnsi="宋体"/>
          <w:b/>
          <w:szCs w:val="21"/>
          <w:u w:val="single"/>
        </w:rPr>
        <w:t>处理完毕一个月后，未发现乙方违法、或扰乱</w:t>
      </w:r>
      <w:r>
        <w:rPr>
          <w:rFonts w:hint="eastAsia" w:ascii="宋体" w:hAnsi="宋体"/>
          <w:b/>
          <w:szCs w:val="21"/>
          <w:u w:val="single"/>
          <w:lang w:eastAsia="zh-CN"/>
        </w:rPr>
        <w:t>砂石料</w:t>
      </w:r>
      <w:r>
        <w:rPr>
          <w:rFonts w:hint="eastAsia" w:ascii="宋体" w:hAnsi="宋体"/>
          <w:b/>
          <w:szCs w:val="21"/>
          <w:u w:val="single"/>
        </w:rPr>
        <w:t>行业秩序等违约行为的，全额予以退返（不计息）。</w:t>
      </w:r>
    </w:p>
    <w:p>
      <w:pPr>
        <w:widowControl/>
        <w:spacing w:line="360" w:lineRule="auto"/>
        <w:ind w:firstLine="422" w:firstLineChars="200"/>
        <w:jc w:val="left"/>
        <w:textAlignment w:val="baseline"/>
        <w:rPr>
          <w:rFonts w:hint="eastAsia" w:ascii="宋体" w:hAnsi="宋体"/>
          <w:b/>
          <w:szCs w:val="21"/>
        </w:rPr>
      </w:pPr>
      <w:r>
        <w:rPr>
          <w:rFonts w:hint="eastAsia" w:ascii="宋体" w:hAnsi="宋体"/>
          <w:b/>
          <w:szCs w:val="21"/>
        </w:rPr>
        <w:t>九、甲方向乙方提供的《</w:t>
      </w:r>
      <w:r>
        <w:rPr>
          <w:rFonts w:hint="eastAsia" w:ascii="宋体" w:hAnsi="宋体"/>
          <w:b/>
          <w:szCs w:val="21"/>
          <w:lang w:eastAsia="zh-CN"/>
        </w:rPr>
        <w:t>砂石料</w:t>
      </w:r>
      <w:r>
        <w:rPr>
          <w:rFonts w:hint="eastAsia" w:ascii="宋体" w:hAnsi="宋体"/>
          <w:b/>
          <w:szCs w:val="21"/>
        </w:rPr>
        <w:t>竞买须知》及其全部拍卖资料均作为本《</w:t>
      </w:r>
      <w:r>
        <w:rPr>
          <w:rFonts w:hint="eastAsia" w:ascii="宋体" w:hAnsi="宋体"/>
          <w:b/>
          <w:szCs w:val="21"/>
          <w:lang w:eastAsia="zh-CN"/>
        </w:rPr>
        <w:t>砂石料</w:t>
      </w:r>
      <w:r>
        <w:rPr>
          <w:rFonts w:hint="eastAsia" w:ascii="宋体" w:hAnsi="宋体"/>
          <w:b/>
          <w:szCs w:val="21"/>
        </w:rPr>
        <w:t>出让合同》的有效组成部分，乙方应知悉并愿意遵守和履行其内容和各项条款。</w:t>
      </w:r>
    </w:p>
    <w:p>
      <w:pPr>
        <w:widowControl/>
        <w:spacing w:line="360" w:lineRule="auto"/>
        <w:ind w:firstLine="422" w:firstLineChars="200"/>
        <w:jc w:val="left"/>
        <w:textAlignment w:val="baseline"/>
        <w:rPr>
          <w:rFonts w:hint="eastAsia" w:ascii="宋体" w:hAnsi="宋体"/>
          <w:b/>
          <w:szCs w:val="21"/>
        </w:rPr>
      </w:pPr>
      <w:r>
        <w:rPr>
          <w:rFonts w:hint="eastAsia" w:ascii="宋体" w:hAnsi="宋体"/>
          <w:b/>
          <w:szCs w:val="21"/>
        </w:rPr>
        <w:t>十、本合同未尽事宜，经双方协商一致，可订立补充条款。补充条款及附件均为本合同组成部分，与本合同具有同等法律效力。无法协商的，则根据有关法律规定处理。</w:t>
      </w:r>
    </w:p>
    <w:p>
      <w:pPr>
        <w:widowControl/>
        <w:spacing w:line="360" w:lineRule="auto"/>
        <w:ind w:firstLine="422" w:firstLineChars="200"/>
        <w:jc w:val="left"/>
        <w:textAlignment w:val="baseline"/>
        <w:rPr>
          <w:rFonts w:hint="eastAsia" w:ascii="宋体" w:hAnsi="宋体"/>
          <w:szCs w:val="21"/>
        </w:rPr>
      </w:pPr>
      <w:r>
        <w:rPr>
          <w:rFonts w:hint="eastAsia" w:ascii="宋体" w:hAnsi="宋体"/>
          <w:b/>
          <w:szCs w:val="21"/>
        </w:rPr>
        <w:t>十一、当本合同在履行中发生争议时，双方协商解决。协商不能解决的，双方均有权向该标的所在地的人民法院提起诉讼。</w:t>
      </w:r>
    </w:p>
    <w:p>
      <w:pPr>
        <w:spacing w:line="360" w:lineRule="auto"/>
        <w:ind w:firstLine="422" w:firstLineChars="200"/>
        <w:rPr>
          <w:rFonts w:hint="eastAsia" w:ascii="宋体" w:hAnsi="宋体"/>
          <w:b/>
          <w:szCs w:val="21"/>
        </w:rPr>
      </w:pPr>
      <w:r>
        <w:rPr>
          <w:rFonts w:hint="eastAsia" w:ascii="宋体" w:hAnsi="宋体"/>
          <w:b/>
          <w:szCs w:val="21"/>
        </w:rPr>
        <w:t>十二、</w:t>
      </w:r>
      <w:r>
        <w:rPr>
          <w:rFonts w:hint="eastAsia" w:ascii="宋体" w:hAnsi="宋体" w:eastAsia="宋体" w:cs="宋体"/>
          <w:b/>
          <w:bCs/>
          <w:i w:val="0"/>
          <w:iCs w:val="0"/>
          <w:caps w:val="0"/>
          <w:color w:val="000000"/>
          <w:spacing w:val="0"/>
          <w:sz w:val="21"/>
          <w:szCs w:val="21"/>
          <w:shd w:val="clear" w:color="auto" w:fill="FFFFFF"/>
        </w:rPr>
        <w:t>本协议一式</w:t>
      </w:r>
      <w:r>
        <w:rPr>
          <w:rFonts w:hint="eastAsia" w:ascii="宋体" w:hAnsi="宋体" w:eastAsia="宋体" w:cs="宋体"/>
          <w:b/>
          <w:bCs/>
          <w:i w:val="0"/>
          <w:iCs w:val="0"/>
          <w:caps w:val="0"/>
          <w:color w:val="000000"/>
          <w:spacing w:val="0"/>
          <w:sz w:val="21"/>
          <w:szCs w:val="21"/>
          <w:shd w:val="clear" w:color="auto" w:fill="FFFFFF"/>
          <w:lang w:val="en-US" w:eastAsia="zh-CN"/>
        </w:rPr>
        <w:t>肆</w:t>
      </w:r>
      <w:r>
        <w:rPr>
          <w:rFonts w:hint="eastAsia" w:ascii="宋体" w:hAnsi="宋体" w:eastAsia="宋体" w:cs="宋体"/>
          <w:b/>
          <w:bCs/>
          <w:i w:val="0"/>
          <w:iCs w:val="0"/>
          <w:caps w:val="0"/>
          <w:color w:val="000000"/>
          <w:spacing w:val="0"/>
          <w:sz w:val="21"/>
          <w:szCs w:val="21"/>
          <w:shd w:val="clear" w:color="auto" w:fill="FFFFFF"/>
        </w:rPr>
        <w:t>份，甲、乙双方各执一份，青田县政府采购招投标交易中心</w:t>
      </w:r>
      <w:r>
        <w:rPr>
          <w:rFonts w:hint="eastAsia" w:ascii="宋体" w:hAnsi="宋体" w:eastAsia="宋体" w:cs="宋体"/>
          <w:b/>
          <w:bCs/>
          <w:i w:val="0"/>
          <w:iCs w:val="0"/>
          <w:caps w:val="0"/>
          <w:color w:val="000000"/>
          <w:spacing w:val="0"/>
          <w:sz w:val="21"/>
          <w:szCs w:val="21"/>
          <w:shd w:val="clear" w:color="auto" w:fill="FFFFFF"/>
          <w:lang w:eastAsia="zh-CN"/>
        </w:rPr>
        <w:t>，</w:t>
      </w:r>
      <w:r>
        <w:rPr>
          <w:rFonts w:hint="eastAsia" w:ascii="宋体" w:hAnsi="宋体" w:eastAsia="宋体" w:cs="宋体"/>
          <w:b/>
          <w:bCs/>
          <w:i w:val="0"/>
          <w:iCs w:val="0"/>
          <w:caps w:val="0"/>
          <w:color w:val="000000"/>
          <w:spacing w:val="0"/>
          <w:sz w:val="21"/>
          <w:szCs w:val="21"/>
          <w:shd w:val="clear" w:color="auto" w:fill="FFFFFF"/>
          <w:lang w:val="en-US" w:eastAsia="zh-CN"/>
        </w:rPr>
        <w:t>青田县砂石料工作中心</w:t>
      </w:r>
      <w:r>
        <w:rPr>
          <w:rFonts w:hint="eastAsia" w:ascii="宋体" w:hAnsi="宋体" w:eastAsia="宋体" w:cs="宋体"/>
          <w:b/>
          <w:bCs/>
          <w:i w:val="0"/>
          <w:iCs w:val="0"/>
          <w:caps w:val="0"/>
          <w:color w:val="000000"/>
          <w:spacing w:val="0"/>
          <w:sz w:val="21"/>
          <w:szCs w:val="21"/>
          <w:shd w:val="clear" w:color="auto" w:fill="FFFFFF"/>
        </w:rPr>
        <w:t>一份。</w:t>
      </w:r>
    </w:p>
    <w:p>
      <w:pPr>
        <w:widowControl/>
        <w:spacing w:line="360" w:lineRule="auto"/>
        <w:ind w:firstLine="422" w:firstLineChars="200"/>
        <w:jc w:val="left"/>
        <w:textAlignment w:val="baseline"/>
        <w:rPr>
          <w:rFonts w:hint="eastAsia" w:ascii="宋体" w:hAnsi="宋体"/>
          <w:b/>
          <w:szCs w:val="21"/>
        </w:rPr>
      </w:pPr>
    </w:p>
    <w:p>
      <w:pPr>
        <w:widowControl/>
        <w:spacing w:line="360" w:lineRule="auto"/>
        <w:ind w:firstLine="422" w:firstLineChars="200"/>
        <w:jc w:val="left"/>
        <w:textAlignment w:val="baseline"/>
        <w:rPr>
          <w:rFonts w:hint="eastAsia" w:ascii="宋体" w:hAnsi="宋体"/>
          <w:b/>
          <w:szCs w:val="21"/>
        </w:rPr>
      </w:pPr>
    </w:p>
    <w:p>
      <w:pPr>
        <w:widowControl/>
        <w:spacing w:line="360" w:lineRule="auto"/>
        <w:ind w:firstLine="422" w:firstLineChars="200"/>
        <w:jc w:val="left"/>
        <w:textAlignment w:val="baseline"/>
        <w:rPr>
          <w:rFonts w:hint="eastAsia" w:ascii="宋体" w:hAnsi="宋体"/>
          <w:b/>
          <w:szCs w:val="21"/>
        </w:rPr>
      </w:pPr>
    </w:p>
    <w:p>
      <w:pPr>
        <w:widowControl/>
        <w:spacing w:line="360" w:lineRule="auto"/>
        <w:ind w:firstLine="422" w:firstLineChars="200"/>
        <w:jc w:val="left"/>
        <w:textAlignment w:val="baseline"/>
        <w:rPr>
          <w:rFonts w:hint="eastAsia" w:ascii="宋体" w:hAnsi="宋体"/>
          <w:b/>
          <w:szCs w:val="21"/>
        </w:rPr>
      </w:pPr>
    </w:p>
    <w:p>
      <w:pPr>
        <w:widowControl/>
        <w:spacing w:line="360" w:lineRule="auto"/>
        <w:ind w:firstLine="420" w:firstLineChars="200"/>
        <w:jc w:val="left"/>
        <w:textAlignment w:val="baseline"/>
        <w:rPr>
          <w:rFonts w:hint="eastAsia" w:ascii="宋体" w:hAnsi="宋体"/>
          <w:szCs w:val="21"/>
        </w:rPr>
      </w:pPr>
      <w:r>
        <w:rPr>
          <w:rFonts w:hint="eastAsia" w:ascii="宋体" w:hAnsi="宋体"/>
          <w:szCs w:val="21"/>
        </w:rPr>
        <w:t>甲方：                                乙方：</w:t>
      </w:r>
    </w:p>
    <w:p>
      <w:pPr>
        <w:widowControl/>
        <w:spacing w:line="360" w:lineRule="auto"/>
        <w:ind w:firstLine="420" w:firstLineChars="200"/>
        <w:jc w:val="left"/>
        <w:textAlignment w:val="baseline"/>
        <w:rPr>
          <w:rFonts w:hint="eastAsia" w:ascii="宋体" w:hAnsi="宋体"/>
          <w:szCs w:val="21"/>
        </w:rPr>
      </w:pPr>
    </w:p>
    <w:p>
      <w:pPr>
        <w:widowControl/>
        <w:spacing w:line="360" w:lineRule="auto"/>
        <w:ind w:firstLine="420" w:firstLineChars="200"/>
        <w:jc w:val="left"/>
        <w:textAlignment w:val="baseline"/>
        <w:rPr>
          <w:rFonts w:hint="eastAsia" w:ascii="宋体" w:hAnsi="宋体"/>
          <w:szCs w:val="21"/>
        </w:rPr>
      </w:pPr>
      <w:r>
        <w:rPr>
          <w:rFonts w:hint="eastAsia" w:ascii="宋体" w:hAnsi="宋体"/>
          <w:szCs w:val="21"/>
        </w:rPr>
        <w:t>法定代表人：                          法定代表人：</w:t>
      </w:r>
    </w:p>
    <w:p>
      <w:pPr>
        <w:widowControl/>
        <w:spacing w:line="360" w:lineRule="auto"/>
        <w:ind w:firstLine="420" w:firstLineChars="200"/>
        <w:jc w:val="left"/>
        <w:textAlignment w:val="baseline"/>
        <w:rPr>
          <w:rFonts w:hint="eastAsia" w:ascii="宋体" w:hAnsi="宋体"/>
          <w:szCs w:val="21"/>
        </w:rPr>
      </w:pPr>
    </w:p>
    <w:p>
      <w:pPr>
        <w:widowControl/>
        <w:spacing w:line="360" w:lineRule="auto"/>
        <w:ind w:firstLine="420" w:firstLineChars="200"/>
        <w:jc w:val="left"/>
        <w:textAlignment w:val="baseline"/>
        <w:rPr>
          <w:rFonts w:hint="eastAsia" w:ascii="宋体" w:hAnsi="宋体"/>
          <w:szCs w:val="21"/>
        </w:rPr>
      </w:pPr>
      <w:r>
        <w:rPr>
          <w:rFonts w:hint="eastAsia" w:ascii="宋体" w:hAnsi="宋体"/>
          <w:szCs w:val="21"/>
        </w:rPr>
        <w:t xml:space="preserve">      </w:t>
      </w:r>
    </w:p>
    <w:p>
      <w:pPr>
        <w:widowControl/>
        <w:spacing w:line="360" w:lineRule="auto"/>
        <w:ind w:firstLine="420" w:firstLineChars="200"/>
        <w:jc w:val="left"/>
        <w:textAlignment w:val="baseline"/>
        <w:rPr>
          <w:rFonts w:hint="eastAsia" w:ascii="宋体" w:hAnsi="宋体"/>
          <w:szCs w:val="21"/>
        </w:rPr>
      </w:pPr>
      <w:r>
        <w:rPr>
          <w:rFonts w:hint="eastAsia" w:ascii="宋体" w:hAnsi="宋体"/>
          <w:szCs w:val="21"/>
        </w:rPr>
        <w:t>签订日期：    年  月  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lang w:eastAsia="zh-CN"/>
        </w:rPr>
      </w:pPr>
    </w:p>
    <w:sectPr>
      <w:pgSz w:w="11906" w:h="16838"/>
      <w:pgMar w:top="1440" w:right="1106" w:bottom="1440" w:left="126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魏碑_GBK">
    <w:altName w:val="宋体"/>
    <w:panose1 w:val="03000509000000000000"/>
    <w:charset w:val="86"/>
    <w:family w:val="script"/>
    <w:pitch w:val="default"/>
    <w:sig w:usb0="00000000" w:usb1="00000000" w:usb2="00000000" w:usb3="00000000" w:csb0="00040000"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1"/>
      </w:pBdr>
      <w:tabs>
        <w:tab w:val="right" w:pos="8460"/>
        <w:tab w:val="clear" w:pos="8306"/>
      </w:tabs>
      <w:ind w:right="52"/>
      <w:jc w:val="center"/>
      <w:rPr>
        <w:rFonts w:ascii="宋体" w:hAns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r>
      <w:fldChar w:fldCharType="begin"/>
    </w:r>
    <w:r>
      <w:rPr>
        <w:rStyle w:val="14"/>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1"/>
      </w:pBdr>
      <w:tabs>
        <w:tab w:val="right" w:pos="8460"/>
        <w:tab w:val="clear" w:pos="8306"/>
      </w:tabs>
      <w:ind w:right="52"/>
      <w:jc w:val="center"/>
      <w:rPr>
        <w:rFonts w:ascii="宋体" w:hAnsi="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w:t>
                          </w:r>
                          <w:r>
                            <w:rPr>
                              <w:rFonts w:hint="eastAsia"/>
                              <w:lang w:val="en-US" w:eastAsia="zh-CN"/>
                            </w:rPr>
                            <w:t>15</w:t>
                          </w:r>
                          <w:r>
                            <w:t>页</w:t>
                          </w:r>
                        </w:p>
                      </w:txbxContent>
                    </wps:txbx>
                    <wps:bodyPr vert="horz" wrap="none" lIns="0" tIns="0" rIns="0" bIns="0" anchor="t" anchorCtr="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PKa190BAAC+AwAADgAAAGRycy9lMm9Eb2MueG1srVPNjtMwEL4j8Q6W&#10;7zRpD6iKmq6AahESAqSFB3Adp7HkP824TcoDwBtw4sKd5+pzMHaS7rJc9sAlGc+Mv5nvm/HmZrCG&#10;nRSg9q7my0XJmXLSN9odav7l8+2LNWcYhWuE8U7V/KyQ32yfP9v0oVIr33nTKGAE4rDqQ827GENV&#10;FCg7ZQUufFCOgq0HKyId4VA0IHpCt6ZYleXLovfQBPBSIZJ3Nwb5hAhPAfRtq6XaeXm0ysURFZQR&#10;kShhpwPybe62bZWMH9sWVWSm5sQ05i8VIXufvsV2I6oDiNBpObUgntLCI05WaEdFr1A7EQU7gv4H&#10;ymoJHn0bF9LbYiSSFSEWy/KRNnedCCpzIakxXEXH/wcrP5w+AdNNzVecOWFp4Jcf3y8/f19+fWPL&#10;JE8fsKKsu0B5cXjtB1qa2Y/kTKyHFmz6Ex9GcRL3fBVXDZHJdGm9Wq9LCkmKzQfCL+6vB8D4VnnL&#10;klFzoOllUcXpPcYxdU5J1Zy/1cbkCRr3l4Mwk6dIvY89JisO+2EitPfNmfjQM6A6nYevnPW0BDV3&#10;tPOcmXeONE77MhswG/vZEE7SxZpHzkbzTRz36hhAHzrCXebmMbw6Ruo0E0htjLWn7misWYJpBdPe&#10;PDznrP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TymtfdAQAAvgMAAA4AAAAAAAAA&#10;AQAgAAAAHgEAAGRycy9lMm9Eb2MueG1sUEsFBgAAAAAGAAYAWQEAAG0FAAAAAA==&#10;">
              <v:fill on="f" focussize="0,0"/>
              <v:stroke on="f"/>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w:t>
                    </w:r>
                    <w:r>
                      <w:rPr>
                        <w:rFonts w:hint="eastAsia"/>
                        <w:lang w:val="en-US" w:eastAsia="zh-CN"/>
                      </w:rPr>
                      <w:t>15</w:t>
                    </w:r>
                    <w: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1"/>
      </w:pBdr>
      <w:tabs>
        <w:tab w:val="right" w:pos="8460"/>
        <w:tab w:val="clear" w:pos="8306"/>
      </w:tabs>
      <w:ind w:right="52"/>
      <w:jc w:val="center"/>
      <w:rPr>
        <w:rFonts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15</w:t>
                          </w:r>
                          <w:r>
                            <w:t xml:space="preserve"> 页</w:t>
                          </w:r>
                        </w:p>
                      </w:txbxContent>
                    </wps:txbx>
                    <wps:bodyPr vert="horz" wrap="none" lIns="0" tIns="0" rIns="0" bIns="0" anchor="t" anchorCtr="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AUC/t0BAAC+AwAADgAAAGRycy9lMm9Eb2MueG1srVNNrtMwEN4jcQfL&#10;e5q0SKiKmj4B1UNICJAeHMB1nMaS/+SZNikHgBuwYsOec/UcjJ2kDx6bt2CTjGfG38z3zXhzM1jD&#10;TiqC9q7my0XJmXLSN9odav750+2zNWeAwjXCeKdqflbAb7ZPn2z6UKmV77xpVGQE4qDqQ807xFAV&#10;BchOWQELH5SjYOujFUjHeCiaKHpCt6ZYleWLovexCdFLBUDe3RjkE2J8DKBvWy3VzsujVQ5H1KiM&#10;QKIEnQ7At7nbtlUSP7QtKGSm5sQU85eKkL1P32K7EdUhitBpObUgHtPCA05WaEdFr1A7gYIdo/4H&#10;ymoZPfgWF9LbYiSSFSEWy/KBNnedCCpzIakhXEWH/wcr358+Rqabmj/nzAlLA798/3b58evy8ytb&#10;JXn6ABVl3QXKw+GVH2hpZj+QM7Ee2mjTn/gwipO456u4akAm06X1ar0uKSQpNh8Iv7i/HiLgG+Ut&#10;S0bNI00viypO7wDH1DklVXP+VhuTJ2jcXw7CTJ4i9T72mCwc9sNEaO+bM/GhZ0B1Oh+/cNbTEtTc&#10;0c5zZt460jjty2zE2djPhnCSLtYcORvN1zju1TFEfegId5mbh/DyiNRpJpDaGGtP3dFYswTTCqa9&#10;+fOcs+6f3fY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OAFAv7dAQAAvgMAAA4AAAAAAAAA&#10;AQAgAAAAHgEAAGRycy9lMm9Eb2MueG1sUEsFBgAAAAAGAAYAWQEAAG0FAAAAAA==&#10;">
              <v:fill on="f" focussize="0,0"/>
              <v:stroke on="f"/>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15</w:t>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5"/>
      </w:pBdr>
      <w:rPr>
        <w:rFonts w:hint="default" w:eastAsia="宋体"/>
        <w:sz w:val="21"/>
        <w:szCs w:val="21"/>
        <w:lang w:val="en-US" w:eastAsia="zh-CN"/>
      </w:rPr>
    </w:pPr>
    <w:r>
      <w:rPr>
        <w:rFonts w:hint="eastAsia" w:ascii="宋体" w:hAnsi="宋体"/>
        <w:sz w:val="21"/>
        <w:szCs w:val="21"/>
        <w:lang w:eastAsia="zh-CN"/>
      </w:rPr>
      <w:t xml:space="preserve">丽水中侨拍卖行有限公司 </w:t>
    </w:r>
    <w:r>
      <w:rPr>
        <w:rFonts w:hint="eastAsia"/>
        <w:sz w:val="21"/>
        <w:szCs w:val="21"/>
      </w:rPr>
      <w:t xml:space="preserve">  </w:t>
    </w:r>
    <w:r>
      <w:rPr>
        <w:rFonts w:hint="eastAsia" w:ascii="宋体" w:hAnsi="宋体"/>
        <w:sz w:val="21"/>
        <w:szCs w:val="21"/>
        <w:lang w:val="en-US" w:eastAsia="zh-CN"/>
      </w:rPr>
      <w:t>砂石料拍卖   拍卖编号：QTCQ2023-004</w:t>
    </w:r>
    <w:r>
      <w:rPr>
        <w:rFonts w:hint="eastAsia" w:ascii="宋体" w:hAnsi="宋体"/>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2"/>
      <w:numFmt w:val="japaneseCounting"/>
      <w:lvlText w:val="第%1章"/>
      <w:lvlJc w:val="left"/>
      <w:pPr>
        <w:tabs>
          <w:tab w:val="left" w:pos="1455"/>
        </w:tabs>
        <w:ind w:left="1455" w:hanging="14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2"/>
    <w:multiLevelType w:val="multilevel"/>
    <w:tmpl w:val="00000002"/>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00000003"/>
    <w:multiLevelType w:val="singleLevel"/>
    <w:tmpl w:val="00000003"/>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wZjZjMmJmNTZhN2RjY2M3ZWQzZGZiZDhmNGQ5MzYifQ=="/>
  </w:docVars>
  <w:rsids>
    <w:rsidRoot w:val="00172A27"/>
    <w:rsid w:val="00026AC6"/>
    <w:rsid w:val="00027D0A"/>
    <w:rsid w:val="00041874"/>
    <w:rsid w:val="000474EF"/>
    <w:rsid w:val="000701B4"/>
    <w:rsid w:val="00082AAE"/>
    <w:rsid w:val="00096B46"/>
    <w:rsid w:val="0009773C"/>
    <w:rsid w:val="000A62B3"/>
    <w:rsid w:val="000D5091"/>
    <w:rsid w:val="000E00FA"/>
    <w:rsid w:val="000E2561"/>
    <w:rsid w:val="000F4499"/>
    <w:rsid w:val="00100E93"/>
    <w:rsid w:val="001402BC"/>
    <w:rsid w:val="00175216"/>
    <w:rsid w:val="00175EB6"/>
    <w:rsid w:val="00184051"/>
    <w:rsid w:val="00192767"/>
    <w:rsid w:val="00196165"/>
    <w:rsid w:val="001B1DEC"/>
    <w:rsid w:val="001B428B"/>
    <w:rsid w:val="001C6388"/>
    <w:rsid w:val="001E0E54"/>
    <w:rsid w:val="00212720"/>
    <w:rsid w:val="00216149"/>
    <w:rsid w:val="00251A59"/>
    <w:rsid w:val="002829D3"/>
    <w:rsid w:val="002A4BDE"/>
    <w:rsid w:val="002B702B"/>
    <w:rsid w:val="002C7CDC"/>
    <w:rsid w:val="002D7AD6"/>
    <w:rsid w:val="002E1380"/>
    <w:rsid w:val="002E2552"/>
    <w:rsid w:val="00354B81"/>
    <w:rsid w:val="00356E88"/>
    <w:rsid w:val="0036344C"/>
    <w:rsid w:val="003815A8"/>
    <w:rsid w:val="003A0E20"/>
    <w:rsid w:val="003D0EE9"/>
    <w:rsid w:val="003D34C8"/>
    <w:rsid w:val="003D51E7"/>
    <w:rsid w:val="003E1731"/>
    <w:rsid w:val="003E73EF"/>
    <w:rsid w:val="003F6B9B"/>
    <w:rsid w:val="00412F57"/>
    <w:rsid w:val="00423FF6"/>
    <w:rsid w:val="00441263"/>
    <w:rsid w:val="004427AB"/>
    <w:rsid w:val="00471616"/>
    <w:rsid w:val="004A38F7"/>
    <w:rsid w:val="004C16EA"/>
    <w:rsid w:val="004D41B9"/>
    <w:rsid w:val="004D7BBE"/>
    <w:rsid w:val="004E15E9"/>
    <w:rsid w:val="004E179A"/>
    <w:rsid w:val="004E19E4"/>
    <w:rsid w:val="004F7C32"/>
    <w:rsid w:val="00507488"/>
    <w:rsid w:val="00534302"/>
    <w:rsid w:val="005353B2"/>
    <w:rsid w:val="00540C1E"/>
    <w:rsid w:val="00544A4D"/>
    <w:rsid w:val="005503CE"/>
    <w:rsid w:val="00553604"/>
    <w:rsid w:val="00565145"/>
    <w:rsid w:val="005A36D2"/>
    <w:rsid w:val="005C0038"/>
    <w:rsid w:val="005D0DCF"/>
    <w:rsid w:val="00644CF3"/>
    <w:rsid w:val="00650BFB"/>
    <w:rsid w:val="00660F34"/>
    <w:rsid w:val="0066323E"/>
    <w:rsid w:val="00677553"/>
    <w:rsid w:val="006777F6"/>
    <w:rsid w:val="00684BDB"/>
    <w:rsid w:val="006A2AE9"/>
    <w:rsid w:val="006B3618"/>
    <w:rsid w:val="006B3FEC"/>
    <w:rsid w:val="006D3C80"/>
    <w:rsid w:val="006E6127"/>
    <w:rsid w:val="006F47E5"/>
    <w:rsid w:val="006F6848"/>
    <w:rsid w:val="0073142D"/>
    <w:rsid w:val="0075632B"/>
    <w:rsid w:val="0075724E"/>
    <w:rsid w:val="00774739"/>
    <w:rsid w:val="0077770B"/>
    <w:rsid w:val="007812B0"/>
    <w:rsid w:val="007A4BA0"/>
    <w:rsid w:val="007C23F3"/>
    <w:rsid w:val="007E1BA5"/>
    <w:rsid w:val="007E2F91"/>
    <w:rsid w:val="008A5CEC"/>
    <w:rsid w:val="008A6060"/>
    <w:rsid w:val="008B30E2"/>
    <w:rsid w:val="008C082B"/>
    <w:rsid w:val="008E4799"/>
    <w:rsid w:val="008E73A8"/>
    <w:rsid w:val="00923B0F"/>
    <w:rsid w:val="0093174D"/>
    <w:rsid w:val="00954870"/>
    <w:rsid w:val="0096097A"/>
    <w:rsid w:val="009610B7"/>
    <w:rsid w:val="00972BE9"/>
    <w:rsid w:val="00980E2C"/>
    <w:rsid w:val="00997302"/>
    <w:rsid w:val="009A2AFA"/>
    <w:rsid w:val="009E229C"/>
    <w:rsid w:val="00A20BC8"/>
    <w:rsid w:val="00A35B26"/>
    <w:rsid w:val="00A3633E"/>
    <w:rsid w:val="00A53386"/>
    <w:rsid w:val="00A73599"/>
    <w:rsid w:val="00A85FE1"/>
    <w:rsid w:val="00A8604E"/>
    <w:rsid w:val="00A935FE"/>
    <w:rsid w:val="00AA3B2B"/>
    <w:rsid w:val="00AA6880"/>
    <w:rsid w:val="00AB7398"/>
    <w:rsid w:val="00AC7354"/>
    <w:rsid w:val="00B03D8C"/>
    <w:rsid w:val="00B07250"/>
    <w:rsid w:val="00B4547D"/>
    <w:rsid w:val="00B474C9"/>
    <w:rsid w:val="00B4757B"/>
    <w:rsid w:val="00B51D7D"/>
    <w:rsid w:val="00B62A07"/>
    <w:rsid w:val="00BB4439"/>
    <w:rsid w:val="00BD5C08"/>
    <w:rsid w:val="00C0081B"/>
    <w:rsid w:val="00C041DC"/>
    <w:rsid w:val="00C07FA8"/>
    <w:rsid w:val="00C31BFA"/>
    <w:rsid w:val="00C350E4"/>
    <w:rsid w:val="00C44361"/>
    <w:rsid w:val="00C95749"/>
    <w:rsid w:val="00CA3B33"/>
    <w:rsid w:val="00CE39E4"/>
    <w:rsid w:val="00D049A6"/>
    <w:rsid w:val="00D20804"/>
    <w:rsid w:val="00D23D4E"/>
    <w:rsid w:val="00D256C4"/>
    <w:rsid w:val="00D42A93"/>
    <w:rsid w:val="00D46DFA"/>
    <w:rsid w:val="00D56A2E"/>
    <w:rsid w:val="00DC00F7"/>
    <w:rsid w:val="00DC76E8"/>
    <w:rsid w:val="00DD672C"/>
    <w:rsid w:val="00DD7338"/>
    <w:rsid w:val="00DD75F6"/>
    <w:rsid w:val="00DE1AE1"/>
    <w:rsid w:val="00DE5037"/>
    <w:rsid w:val="00DF697E"/>
    <w:rsid w:val="00E02E17"/>
    <w:rsid w:val="00E1746A"/>
    <w:rsid w:val="00E25759"/>
    <w:rsid w:val="00E30B82"/>
    <w:rsid w:val="00E508AE"/>
    <w:rsid w:val="00E55F55"/>
    <w:rsid w:val="00E60EF8"/>
    <w:rsid w:val="00E613B5"/>
    <w:rsid w:val="00E90088"/>
    <w:rsid w:val="00EA7228"/>
    <w:rsid w:val="00EB2812"/>
    <w:rsid w:val="00EB6423"/>
    <w:rsid w:val="00EC091F"/>
    <w:rsid w:val="00ED4B2C"/>
    <w:rsid w:val="00F00323"/>
    <w:rsid w:val="00F17D16"/>
    <w:rsid w:val="00F37CFF"/>
    <w:rsid w:val="00F47EAB"/>
    <w:rsid w:val="00F507E8"/>
    <w:rsid w:val="00F77BC5"/>
    <w:rsid w:val="00FD3499"/>
    <w:rsid w:val="00FE50BC"/>
    <w:rsid w:val="00FE592E"/>
    <w:rsid w:val="02142390"/>
    <w:rsid w:val="02FE49A8"/>
    <w:rsid w:val="03837E7E"/>
    <w:rsid w:val="045254C6"/>
    <w:rsid w:val="07890B13"/>
    <w:rsid w:val="079E5C2C"/>
    <w:rsid w:val="0A171CC6"/>
    <w:rsid w:val="0AF95135"/>
    <w:rsid w:val="0BF56037"/>
    <w:rsid w:val="0E4D7AF7"/>
    <w:rsid w:val="0EE445EE"/>
    <w:rsid w:val="0F42577E"/>
    <w:rsid w:val="0F7B24E9"/>
    <w:rsid w:val="0FD30C94"/>
    <w:rsid w:val="10514C94"/>
    <w:rsid w:val="12B63F44"/>
    <w:rsid w:val="135B3506"/>
    <w:rsid w:val="144C508A"/>
    <w:rsid w:val="146B0B0C"/>
    <w:rsid w:val="14C30A80"/>
    <w:rsid w:val="1A620015"/>
    <w:rsid w:val="1AAA751C"/>
    <w:rsid w:val="1AE907FF"/>
    <w:rsid w:val="1BC17553"/>
    <w:rsid w:val="1D0B1216"/>
    <w:rsid w:val="1E9764ED"/>
    <w:rsid w:val="1F4D0D82"/>
    <w:rsid w:val="1F697B84"/>
    <w:rsid w:val="217562F4"/>
    <w:rsid w:val="22CB38B1"/>
    <w:rsid w:val="25A47CB1"/>
    <w:rsid w:val="25C17DAA"/>
    <w:rsid w:val="26FD638D"/>
    <w:rsid w:val="27F54604"/>
    <w:rsid w:val="286831C9"/>
    <w:rsid w:val="289D53BA"/>
    <w:rsid w:val="28A0064A"/>
    <w:rsid w:val="2BEF557A"/>
    <w:rsid w:val="2CCF43B4"/>
    <w:rsid w:val="30F7344A"/>
    <w:rsid w:val="31451D19"/>
    <w:rsid w:val="33433444"/>
    <w:rsid w:val="350E0452"/>
    <w:rsid w:val="35FA1352"/>
    <w:rsid w:val="39D4177D"/>
    <w:rsid w:val="3E9C2826"/>
    <w:rsid w:val="407A47AF"/>
    <w:rsid w:val="416A195A"/>
    <w:rsid w:val="42361615"/>
    <w:rsid w:val="43511358"/>
    <w:rsid w:val="44F527E6"/>
    <w:rsid w:val="475B5DAC"/>
    <w:rsid w:val="49142C7A"/>
    <w:rsid w:val="49373B68"/>
    <w:rsid w:val="49DC5B65"/>
    <w:rsid w:val="49F6656A"/>
    <w:rsid w:val="4A001FDE"/>
    <w:rsid w:val="4A061C85"/>
    <w:rsid w:val="4A5D0C29"/>
    <w:rsid w:val="4B304782"/>
    <w:rsid w:val="4B3D09E9"/>
    <w:rsid w:val="4B4643C1"/>
    <w:rsid w:val="4B4C4549"/>
    <w:rsid w:val="4DCE2DDC"/>
    <w:rsid w:val="4F4F287B"/>
    <w:rsid w:val="4F785D6E"/>
    <w:rsid w:val="50591835"/>
    <w:rsid w:val="51102D30"/>
    <w:rsid w:val="51B65E92"/>
    <w:rsid w:val="51E063B6"/>
    <w:rsid w:val="52726CA9"/>
    <w:rsid w:val="52C76A9D"/>
    <w:rsid w:val="52D916E1"/>
    <w:rsid w:val="53454D7C"/>
    <w:rsid w:val="535666DE"/>
    <w:rsid w:val="53590AC1"/>
    <w:rsid w:val="536D393F"/>
    <w:rsid w:val="53A84525"/>
    <w:rsid w:val="53FE675C"/>
    <w:rsid w:val="591676D9"/>
    <w:rsid w:val="5A8E0C7B"/>
    <w:rsid w:val="5AA125D5"/>
    <w:rsid w:val="5ADA73DC"/>
    <w:rsid w:val="5AE90A52"/>
    <w:rsid w:val="5BAA156C"/>
    <w:rsid w:val="5C5B3318"/>
    <w:rsid w:val="5C5E3ADE"/>
    <w:rsid w:val="5C9915AA"/>
    <w:rsid w:val="5E640F89"/>
    <w:rsid w:val="5FDB6BEE"/>
    <w:rsid w:val="6084406C"/>
    <w:rsid w:val="61296786"/>
    <w:rsid w:val="62B46B68"/>
    <w:rsid w:val="638714CB"/>
    <w:rsid w:val="647E2FA9"/>
    <w:rsid w:val="65EE10D2"/>
    <w:rsid w:val="681B3509"/>
    <w:rsid w:val="69313380"/>
    <w:rsid w:val="6A4F2CC6"/>
    <w:rsid w:val="6B144DD0"/>
    <w:rsid w:val="6B190C6B"/>
    <w:rsid w:val="6C2B394F"/>
    <w:rsid w:val="6C2E744F"/>
    <w:rsid w:val="6C79CEE2"/>
    <w:rsid w:val="6CD522A7"/>
    <w:rsid w:val="6F807D63"/>
    <w:rsid w:val="6F96333B"/>
    <w:rsid w:val="701C36F4"/>
    <w:rsid w:val="70FD073F"/>
    <w:rsid w:val="73173485"/>
    <w:rsid w:val="73E60C70"/>
    <w:rsid w:val="74C93531"/>
    <w:rsid w:val="76E45F77"/>
    <w:rsid w:val="7709325A"/>
    <w:rsid w:val="78614F25"/>
    <w:rsid w:val="7924080B"/>
    <w:rsid w:val="7A396040"/>
    <w:rsid w:val="7A7A0550"/>
    <w:rsid w:val="7B706385"/>
    <w:rsid w:val="7C1D5DFD"/>
    <w:rsid w:val="7C927905"/>
    <w:rsid w:val="7D843BE5"/>
    <w:rsid w:val="7EEF5417"/>
    <w:rsid w:val="7F900CFC"/>
    <w:rsid w:val="A1973630"/>
    <w:rsid w:val="B57A18E2"/>
    <w:rsid w:val="C79EF1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7"/>
    <w:qFormat/>
    <w:uiPriority w:val="0"/>
    <w:pPr>
      <w:keepNext/>
      <w:keepLines/>
      <w:spacing w:before="340" w:after="330" w:line="576" w:lineRule="auto"/>
      <w:outlineLvl w:val="0"/>
    </w:pPr>
    <w:rPr>
      <w:rFonts w:ascii="Times New Roman" w:hAnsi="Times New Roman" w:eastAsia="宋体" w:cs="Times New Roman"/>
      <w:b/>
      <w:kern w:val="44"/>
      <w:sz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13">
    <w:name w:val="Default Paragraph Font"/>
    <w:qFormat/>
    <w:uiPriority w:val="0"/>
    <w:rPr>
      <w:rFonts w:ascii="Times New Roman" w:hAnsi="Times New Roman" w:eastAsia="宋体" w:cs="Times New Roman"/>
    </w:rPr>
  </w:style>
  <w:style w:type="table" w:default="1" w:styleId="11">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4">
    <w:name w:val="annotation text"/>
    <w:basedOn w:val="1"/>
    <w:qFormat/>
    <w:uiPriority w:val="0"/>
    <w:pPr>
      <w:jc w:val="left"/>
    </w:pPr>
    <w:rPr>
      <w:rFonts w:ascii="Times New Roman" w:hAnsi="Times New Roman" w:eastAsia="宋体" w:cs="Times New Roman"/>
    </w:rPr>
  </w:style>
  <w:style w:type="paragraph" w:styleId="5">
    <w:name w:val="Balloon Text"/>
    <w:basedOn w:val="1"/>
    <w:qFormat/>
    <w:uiPriority w:val="0"/>
    <w:rPr>
      <w:rFonts w:ascii="Times New Roman" w:hAnsi="Times New Roman" w:eastAsia="宋体" w:cs="Times New Roman"/>
      <w:sz w:val="18"/>
      <w:szCs w:val="18"/>
    </w:rPr>
  </w:style>
  <w:style w:type="paragraph" w:styleId="6">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rPr>
  </w:style>
  <w:style w:type="paragraph" w:styleId="8">
    <w:name w:val="toc 1"/>
    <w:basedOn w:val="1"/>
    <w:next w:val="1"/>
    <w:qFormat/>
    <w:uiPriority w:val="0"/>
    <w:rPr>
      <w:rFonts w:ascii="Times New Roman" w:hAnsi="Times New Roman" w:eastAsia="宋体" w:cs="Times New Roman"/>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styleId="10">
    <w:name w:val="annotation subject"/>
    <w:basedOn w:val="4"/>
    <w:next w:val="4"/>
    <w:qFormat/>
    <w:uiPriority w:val="0"/>
    <w:rPr>
      <w:rFonts w:ascii="Times New Roman" w:hAnsi="Times New Roman" w:eastAsia="宋体" w:cs="Times New Roman"/>
      <w:b/>
      <w:bCs/>
    </w:rPr>
  </w:style>
  <w:style w:type="table" w:styleId="12">
    <w:name w:val="Table Grid"/>
    <w:basedOn w:val="1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qFormat/>
    <w:uiPriority w:val="0"/>
    <w:rPr>
      <w:rFonts w:ascii="Times New Roman" w:hAnsi="Times New Roman" w:eastAsia="宋体" w:cs="Times New Roman"/>
    </w:rPr>
  </w:style>
  <w:style w:type="character" w:styleId="15">
    <w:name w:val="Hyperlink"/>
    <w:qFormat/>
    <w:uiPriority w:val="0"/>
    <w:rPr>
      <w:rFonts w:ascii="Times New Roman" w:hAnsi="Times New Roman" w:eastAsia="宋体" w:cs="Times New Roman"/>
      <w:color w:val="0000FF"/>
      <w:u w:val="single"/>
    </w:rPr>
  </w:style>
  <w:style w:type="character" w:styleId="16">
    <w:name w:val="annotation reference"/>
    <w:qFormat/>
    <w:uiPriority w:val="0"/>
    <w:rPr>
      <w:rFonts w:ascii="Times New Roman" w:hAnsi="Times New Roman" w:eastAsia="宋体" w:cs="Times New Roman"/>
      <w:sz w:val="21"/>
      <w:szCs w:val="21"/>
    </w:rPr>
  </w:style>
  <w:style w:type="character" w:customStyle="1" w:styleId="17">
    <w:name w:val="标题 1 Char"/>
    <w:link w:val="2"/>
    <w:qFormat/>
    <w:uiPriority w:val="0"/>
    <w:rPr>
      <w:rFonts w:ascii="Times New Roman" w:hAnsi="Times New Roman" w:eastAsia="宋体" w:cs="Times New Roman"/>
      <w:b/>
      <w:kern w:val="44"/>
      <w:sz w:val="44"/>
      <w:lang w:val="en-US" w:eastAsia="zh-CN" w:bidi="ar-SA"/>
    </w:rPr>
  </w:style>
  <w:style w:type="paragraph" w:customStyle="1" w:styleId="18">
    <w:name w:val="_Style 15"/>
    <w:basedOn w:val="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8885</Words>
  <Characters>9271</Characters>
  <Lines>72</Lines>
  <Paragraphs>20</Paragraphs>
  <TotalTime>5</TotalTime>
  <ScaleCrop>false</ScaleCrop>
  <LinksUpToDate>false</LinksUpToDate>
  <CharactersWithSpaces>9969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2018-04-27T00:32:00Z</dcterms:created>
  <dc:creator>qtnf</dc:creator>
  <cp:lastModifiedBy>露露</cp:lastModifiedBy>
  <cp:lastPrinted>2022-03-24T06:13:00Z</cp:lastPrinted>
  <dcterms:modified xsi:type="dcterms:W3CDTF">2023-03-07T01:19:23Z</dcterms:modified>
  <dc:title>S230(57省道）青田瓯南至油竹段改建工程石郭岭右线隧道施工出碴剩余硐弃渣拍卖文件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01AFAF36DEB94878B9A18659CD169F39</vt:lpwstr>
  </property>
</Properties>
</file>